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بكر بن عرام بن إبراهيم بن ياسين
</w:t>
      </w:r>
    </w:p>
    <w:p>
      <w:pPr>
        <w:jc w:val="start"/>
        <w:bidi/>
      </w:pPr>
      <w:r>
        <w:rPr>
          <w:rFonts w:ascii="arial" w:hAnsi="arial" w:eastAsia="arial" w:cs="arial"/>
          <w:sz w:val="28"/>
          <w:szCs w:val="28"/>
          <w:b w:val="1"/>
          <w:bCs w:val="1"/>
          <w:rtl/>
        </w:rPr>
        <w:t xml:space="preserve">محمد بن أحمد بن أبي بكر بن عرام بن إبراهيم بن ياسين
</w:t>
      </w:r>
    </w:p>
    <w:p>
      <w:pPr/>
      <w:r>
        <w:rPr/>
        <w:t xml:space="preserve">محمد بن أحمد بن أبي بكر بن عرام بن إبراهيم بن ياسين محمد بن أحمد بن أبي بكر بن عرام بن إبراهيم بن ياسين بن أبي القاسم ابن محمد بن إسماعيل بن علي الربعي الشيباني الاسواني الأصل الاسكندراني الشافعي تقي الدين أبو عبد الله الإمام المحدث الفقيه المفتي ولد في ثامن عشر شوال سنة 703 وسمع من العلامة رشيد الدين إسماعيل بن المعلم والحسن بن عمر الكردي والحجار والشريف موسى بن أبي طالب والعلم ابن درادة والتاج ابن دقيق العيد وأحمد بن محمد بن الكمال والشريف علي الزيني وعمر العتبي وزينب بنت شكر وغيرهم وأجاز له المطعم وابن عبد الدائم وابن النحاس ويحيى بن سعد ومن مكة الرضى الطبري وغيرهم وحدث وأفتى ودرس وصنف وخرج وتفرد بأشياء من مسموعاته وكانت وفاته في سنة 777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2026-06-21T19:51:28+03:00</dcterms:created>
  <dcterms:modified xsi:type="dcterms:W3CDTF">2026-06-21T19:51:28+03:00</dcterms:modified>
</cp:coreProperties>
</file>

<file path=docProps/custom.xml><?xml version="1.0" encoding="utf-8"?>
<Properties xmlns="http://schemas.openxmlformats.org/officeDocument/2006/custom-properties" xmlns:vt="http://schemas.openxmlformats.org/officeDocument/2006/docPropsVTypes"/>
</file>