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التلمساني الأصل
</w:t>
      </w:r>
    </w:p>
    <w:p>
      <w:pPr>
        <w:jc w:val="start"/>
        <w:bidi/>
      </w:pPr>
      <w:r>
        <w:rPr>
          <w:rFonts w:ascii="arial" w:hAnsi="arial" w:eastAsia="arial" w:cs="arial"/>
          <w:sz w:val="28"/>
          <w:szCs w:val="28"/>
          <w:b w:val="1"/>
          <w:bCs w:val="1"/>
          <w:rtl/>
        </w:rPr>
        <w:t xml:space="preserve">محمد بن أحمد بن محمد التلمساني الأصل
</w:t>
      </w:r>
    </w:p>
    <w:p>
      <w:pPr/>
      <w:r>
        <w:rPr/>
        <w:t xml:space="preserve">محمد بن أحمد بن محمد التلمساني الأصل محمد بن أحمد بن محمد التلمساني الأصل نزيل سبتة أبو الحسين قال ابن الخطيب ولد سنة 679 وأخذ عن أبيه وأبي حاتم بن أبي القاسم العزفي وأبي عبد الله بن حديث وأبي عبد الله بن الحصار وابن رشيد وأبي جعفر ابن الزيات وأبي عبد الله بن ربيع وغيرهم وأجاز له خال أبيه مالك بن المرحل وابن الزبير وابن سمعون وابن الغماز وابن هارون ومن مصر الدمياطي وابن النحاس وابن دقيق العيد وغيرهم وولي الحسبة بغرناطة قال ثم ناب عني في مجلس السلطان في العرض والجواب أحسن مناب وكان مشاركا في الحديث والأدب قائما على حفظ كتاب الله طيب النغمة به حتى يقال إن رجلا فاظت نفسه لشجو نغمه ولم يؤثر عنه في أحد وقيعة مع اتصاله بالسلطان وكانت وفاته في المحرم سنة 762 وقد أسن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2026-06-22T00:44:38+03:00</dcterms:created>
  <dcterms:modified xsi:type="dcterms:W3CDTF">2026-06-22T00:44:38+03:00</dcterms:modified>
</cp:coreProperties>
</file>

<file path=docProps/custom.xml><?xml version="1.0" encoding="utf-8"?>
<Properties xmlns="http://schemas.openxmlformats.org/officeDocument/2006/custom-properties" xmlns:vt="http://schemas.openxmlformats.org/officeDocument/2006/docPropsVTypes"/>
</file>