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يوسف الهاشمي الطنجالي
</w:t>
      </w:r>
    </w:p>
    <w:p>
      <w:pPr>
        <w:jc w:val="start"/>
        <w:bidi/>
      </w:pPr>
      <w:r>
        <w:rPr>
          <w:rFonts w:ascii="arial" w:hAnsi="arial" w:eastAsia="arial" w:cs="arial"/>
          <w:sz w:val="28"/>
          <w:szCs w:val="28"/>
          <w:b w:val="1"/>
          <w:bCs w:val="1"/>
          <w:rtl/>
        </w:rPr>
        <w:t xml:space="preserve">محمد بن أحمد بن محمد بن أحمد بن يوسف الهاشمي الطنجالي
</w:t>
      </w:r>
    </w:p>
    <w:p>
      <w:pPr/>
      <w:r>
        <w:rPr/>
        <w:t xml:space="preserve">محمد بن أحمد بن محمد بن أحمد بن يوسف الهاشمي الطنجالي محمد بن أحمد بن محمد بن أحمد بن يوسف الهاشمي الطنجالي المالقي ولد سنة 13 وكان غلى سنن سلفه في الوقار والاحتشام والورع تقدم خطيبا ثم قاضيا ببلده فكان غاية في النزاهة والعدالة وكان عارفا بالفرائض والحساب واستعفى من القضاء فأعفي ومات في رجب سنة 752 وأبوه في قيد الحياة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2026-06-22T02:34:33+03:00</dcterms:created>
  <dcterms:modified xsi:type="dcterms:W3CDTF">2026-06-22T02:34:33+03:00</dcterms:modified>
</cp:coreProperties>
</file>

<file path=docProps/custom.xml><?xml version="1.0" encoding="utf-8"?>
<Properties xmlns="http://schemas.openxmlformats.org/officeDocument/2006/custom-properties" xmlns:vt="http://schemas.openxmlformats.org/officeDocument/2006/docPropsVTypes"/>
</file>