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الرحيم بن عمر بن عثمان
</w:t>
      </w:r>
    </w:p>
    <w:p>
      <w:pPr>
        <w:jc w:val="start"/>
        <w:bidi/>
      </w:pPr>
      <w:r>
        <w:rPr>
          <w:rFonts w:ascii="arial" w:hAnsi="arial" w:eastAsia="arial" w:cs="arial"/>
          <w:sz w:val="28"/>
          <w:szCs w:val="28"/>
          <w:b w:val="1"/>
          <w:bCs w:val="1"/>
          <w:rtl/>
        </w:rPr>
        <w:t xml:space="preserve">محمد بن أحمد بن عبد الرحيم بن عمر بن عثمان
</w:t>
      </w:r>
    </w:p>
    <w:p>
      <w:pPr/>
      <w:r>
        <w:rPr/>
        <w:t xml:space="preserve">محمد بن أحمد بن عبد الرحيم بن عمر بن عثمان محمد بن أحمد بن عبد الرحيم بن عمر بن عثمان بن عبد المحسن بن أبي البهاء بن نصر بن سعد الدنيسري الأصل ثم الموصلي الدمشقى شمس الدين الباجربقى اشتغل بالعلم ودرس بمدرسة جده الفتحية وكان كثير القناعة فلما كان في رمضان سنة 61 أدعى عليه أنه قال ليس كل الحق مع أهل السنة بل بعض أقوال المعتزلة قد تكون حقا أو نحو ذلك فعزره القاضي تاج الدين السبكي بكشف رأسه ونودي عليه من العادلية إلى الشامية البرانية ثم سجن ثم أطلق وكلف أن يسأل ابن الكفري أن يحكم بإسلامه ففعل ولما أطلق عزت نفسه فانعزل عن جهاته ففرقها القاضي وأقام هو بمنزله من الفتحية إلى أن عزل عنها للعماد الحسباني في مرضه ولم يزل مهاجرا للقاضي إلى أن صالحه في أواخر عمره وكانت وفاته في صفر سنة 765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2026-06-22T04:55:01+03:00</dcterms:created>
  <dcterms:modified xsi:type="dcterms:W3CDTF">2026-06-22T04:55:01+03:00</dcterms:modified>
</cp:coreProperties>
</file>

<file path=docProps/custom.xml><?xml version="1.0" encoding="utf-8"?>
<Properties xmlns="http://schemas.openxmlformats.org/officeDocument/2006/custom-properties" xmlns:vt="http://schemas.openxmlformats.org/officeDocument/2006/docPropsVTypes"/>
</file>