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الرحمن بن سليمان القرشي الجعبري ثم الدمشقي
</w:t>
      </w:r>
    </w:p>
    <w:p>
      <w:pPr>
        <w:jc w:val="start"/>
        <w:bidi/>
      </w:pPr>
      <w:r>
        <w:rPr>
          <w:rFonts w:ascii="arial" w:hAnsi="arial" w:eastAsia="arial" w:cs="arial"/>
          <w:sz w:val="28"/>
          <w:szCs w:val="28"/>
          <w:b w:val="1"/>
          <w:bCs w:val="1"/>
          <w:rtl/>
        </w:rPr>
        <w:t xml:space="preserve">محمد بن أحمد بن عبد الرحمن بن سليمان القرشي الجعبري ثم الدمشقي
</w:t>
      </w:r>
    </w:p>
    <w:p>
      <w:pPr/>
      <w:r>
        <w:rPr/>
        <w:t xml:space="preserve">محمد بن أحمد بن عبد الرحمن بن سليمان القرشي الجعبري ثم الدمشقي محمد بن أحمد بن عبد الرحمن بن سليمان القرشي الجعبري ثم الدمشقي شمس الدين أبو عبد الله الشهير بابن خطيب يبرود ولد سنة 701 وسمع من أبي العباس الحجار وأخذ الفقه عن العلامة برهان الدين ابن الفركاح ومحيي الدين ابن جهبل والأصول عن الشيخ شمس الدين الاصبهاني وبرع فيه وفي العربية وكانت له معرفة بالأدب أفتى ودرس في أماكن ببلاد مصر والشام وولي القضاء والخطابة بالمدينة النبوية وحدث بالإجازة عن القاضي سليمان وغيره وتفقه به جماعة وكان من أعيان الشافعية مات بدمشق سنة 777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2026-06-22T05:08:09+03:00</dcterms:created>
  <dcterms:modified xsi:type="dcterms:W3CDTF">2026-06-22T05:08:09+03:00</dcterms:modified>
</cp:coreProperties>
</file>

<file path=docProps/custom.xml><?xml version="1.0" encoding="utf-8"?>
<Properties xmlns="http://schemas.openxmlformats.org/officeDocument/2006/custom-properties" xmlns:vt="http://schemas.openxmlformats.org/officeDocument/2006/docPropsVTypes"/>
</file>