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سبع بن محمد بن فضائل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سبع بن محمد بن فضائل بن يوسف
</w:t>
      </w:r>
    </w:p>
    <w:p>
      <w:pPr/>
      <w:r>
        <w:rPr/>
        <w:t xml:space="preserve">محمد بن أحمد بن سبع بن محمد بن فضائل بن يوسف محمد بن أحمد بن سبع بن محمد بن فضائل بن يوسف بن هارون العقبي الكاتب سجي الدين هو القائل</w:t>
      </w:r>
    </w:p>
    <w:p/>
    <w:p>
      <w:pPr>
        <w:jc w:val="center"/>
      </w:pPr>
      <w:r>
        <w:rPr>
          <w:color w:val="ff0000"/>
        </w:rPr>
        <w:t xml:space="preserve">لبابك تاج الدين قد جئت مهديا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جواهر نظم لم ينلهن تاجر</w:t>
      </w:r>
    </w:p>
    <w:p/>
    <w:p>
      <w:pPr>
        <w:jc w:val="center"/>
      </w:pPr>
      <w:r>
        <w:rPr>
          <w:color w:val="ff0000"/>
        </w:rPr>
        <w:t xml:space="preserve">ولكنها زادت بذكراك بهجة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وفي التاج أنمى ما تكون الجواهر</w:t>
      </w:r>
    </w:p>
    <w:p/>
    <w:p>
      <w:pPr/>
      <w:r>
        <w:rPr/>
        <w:t xml:space="preserve">وقال</w:t>
      </w:r>
    </w:p>
    <w:p/>
    <w:p>
      <w:pPr>
        <w:jc w:val="center"/>
      </w:pPr>
      <w:r>
        <w:rPr>
          <w:color w:val="ff0000"/>
        </w:rPr>
        <w:t xml:space="preserve">تقول فتاة الحي عجل بعودة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ناب رزق الله فهو يدافع</w:t>
      </w:r>
    </w:p>
    <w:p/>
    <w:p>
      <w:pPr>
        <w:jc w:val="center"/>
      </w:pPr>
      <w:r>
        <w:rPr>
          <w:color w:val="ff0000"/>
        </w:rPr>
        <w:t xml:space="preserve">فقلت لهم لا تحسبوه بحاجتي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يضيق فرزق الله لا شك واقع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2026-06-22T07:30:27+03:00</dcterms:created>
  <dcterms:modified xsi:type="dcterms:W3CDTF">2026-06-22T07:30:27+03:00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