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خالد بن عيسى بن عامر بن يوسف
</w:t>
      </w:r>
    </w:p>
    <w:p>
      <w:pPr>
        <w:jc w:val="start"/>
        <w:bidi/>
      </w:pPr>
      <w:r>
        <w:rPr>
          <w:rFonts w:ascii="arial" w:hAnsi="arial" w:eastAsia="arial" w:cs="arial"/>
          <w:sz w:val="28"/>
          <w:szCs w:val="28"/>
          <w:b w:val="1"/>
          <w:bCs w:val="1"/>
          <w:rtl/>
        </w:rPr>
        <w:t xml:space="preserve">محمد بن أحمد بن خالد بن عيسى بن عامر بن يوسف
</w:t>
      </w:r>
    </w:p>
    <w:p>
      <w:pPr/>
      <w:r>
        <w:rPr/>
        <w:t xml:space="preserve">محمد بن أحمد بن خالد بن عيسى بن عامر بن يوسف محمد بن أحمد بن خالد بن عيسى بن عامر بن يوسف بن بدر بن علي بن عمر الأنصاري السعدي جمال الدين المطري المدني ولد سنة 671 وحضر على أبي اليمن بن عساكر وسمع منه ومن غيره وحدث وله نظم وكان أحد الرؤساء المؤذنين بالمسجد النبوي ومن أحسن الناس صوتا وصنف تاريخا مفيدا وكانت له مشاركة في الفنون وناب في الحكم وفي الخطابة وفضائله جمة وكانت المدينة خالية من عارف بالميقات فندب من مصر ثلاثة وكان والده أحدهم فلما مات أبوه استقر عوضه وبقيت في يد آله ومات بالمدينة الشريفة في سابع عشري شهر ربيع الآخر سنة 741 وكان مولده سنة 676 وبرع ولده في الحديث ورحل فيه وعاش إلى سنة 765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2026-06-22T07:28:16+03:00</dcterms:created>
  <dcterms:modified xsi:type="dcterms:W3CDTF">2026-06-22T07:28:16+03:00</dcterms:modified>
</cp:coreProperties>
</file>

<file path=docProps/custom.xml><?xml version="1.0" encoding="utf-8"?>
<Properties xmlns="http://schemas.openxmlformats.org/officeDocument/2006/custom-properties" xmlns:vt="http://schemas.openxmlformats.org/officeDocument/2006/docPropsVTypes"/>
</file>