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حيدرة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حيدرة الأنصاري
</w:t>
      </w:r>
    </w:p>
    <w:p>
      <w:pPr/>
      <w:r>
        <w:rPr/>
        <w:t xml:space="preserve">محمد بن أحمد بن حيدرة الأنصاري محمد بن أحمد بن حيدرة الأنصاري كان بعد السبعين وسبعمائة وله شعر حسن فمنه</w:t>
      </w:r>
    </w:p>
    <w:p/>
    <w:p>
      <w:pPr>
        <w:jc w:val="center"/>
      </w:pPr>
      <w:r>
        <w:rPr>
          <w:color w:val="ff0000"/>
        </w:rPr>
        <w:t xml:space="preserve">أيا من لروحي ملك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تعطف لصب هلك</w:t>
      </w:r>
    </w:p>
    <w:p/>
    <w:p>
      <w:pPr>
        <w:jc w:val="center"/>
      </w:pPr>
      <w:r>
        <w:rPr>
          <w:color w:val="ff0000"/>
        </w:rPr>
        <w:t xml:space="preserve">ويا متلفى في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اغث مغرما حي لك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2026-06-22T07:14:39+03:00</dcterms:created>
  <dcterms:modified xsi:type="dcterms:W3CDTF">2026-06-22T07:14:39+03:00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