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مسافر بن أبي عمرو
</w:t>
      </w:r>
    </w:p>
    <w:p>
      <w:pPr>
        <w:jc w:val="start"/>
        <w:bidi/>
      </w:pPr>
      <w:r>
        <w:rPr>
          <w:rFonts w:ascii="arial" w:hAnsi="arial" w:eastAsia="arial" w:cs="arial"/>
          <w:sz w:val="28"/>
          <w:szCs w:val="28"/>
          <w:b w:val="1"/>
          <w:bCs w:val="1"/>
          <w:rtl/>
        </w:rPr>
        <w:t xml:space="preserve">مسافر بن أبي عمرو
</w:t>
      </w:r>
    </w:p>
    <w:p>
      <w:pPr/>
      <w:r>
        <w:rPr/>
        <w:t xml:space="preserve">مسافر بن أبي عمرو  مسافر بن أبي عمرو (واسمه ذكوان) ابن أمية بن عبد شمس: شاعر، من سادات بني أمية وأجوادهم في الجاهلية. شعره غير كثير، وفي أخباره اضطراب. نشأ بمكة. ووفد على النعمان بن المنذر فأكرمه وجعله في خاصة ندمائه، ثم عاد يريد مكة فمات في موضع يقال له (هبالة) وقيل: بالحيرة، عند النعمان. قال السهيلي: مات من حب (صعبة بنت الحضرمي) وفي الأغاني: (هند بنت عتبة بن ربيعة بن عبد شمس) ورثاه أبو طالب بن عبد المطلب. قال ابن حبيب: كان أبو طالب نديما لمسافر بن أبي عمرو. </w:t>
      </w:r>
    </w:p>
    <w:p>
      <w:pPr>
        <w:jc w:val="start"/>
        <w:bidi/>
      </w:pPr>
      <w:r>
        <w:rPr>
          <w:sz w:val="24"/>
          <w:szCs w:val="24"/>
          <w:b w:val="1"/>
          <w:bCs w:val="1"/>
          <w:rtl/>
        </w:rPr>
        <w:t xml:space="preserve">
الأعلام،(دار العلم للملايين - بيروت،2002،ط 15،ج 7،ص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2026-05-16T22:23:54+03:00</dcterms:created>
  <dcterms:modified xsi:type="dcterms:W3CDTF">2026-05-16T22:23:54+03:00</dcterms:modified>
</cp:coreProperties>
</file>

<file path=docProps/custom.xml><?xml version="1.0" encoding="utf-8"?>
<Properties xmlns="http://schemas.openxmlformats.org/officeDocument/2006/custom-properties" xmlns:vt="http://schemas.openxmlformats.org/officeDocument/2006/docPropsVTypes"/>
</file>