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إبراهيم بن يحيى الاسيوطي القاضي عز الدين
</w:t>
      </w:r>
    </w:p>
    <w:p>
      <w:pPr>
        <w:jc w:val="start"/>
        <w:bidi/>
      </w:pPr>
      <w:r>
        <w:rPr>
          <w:rFonts w:ascii="arial" w:hAnsi="arial" w:eastAsia="arial" w:cs="arial"/>
          <w:sz w:val="28"/>
          <w:szCs w:val="28"/>
          <w:b w:val="1"/>
          <w:bCs w:val="1"/>
          <w:rtl/>
        </w:rPr>
        <w:t xml:space="preserve">محمد بن أحمد بن إبراهيم بن يحيى الاسيوطي القاضي عز الدين
</w:t>
      </w:r>
    </w:p>
    <w:p>
      <w:pPr/>
      <w:r>
        <w:rPr/>
        <w:t xml:space="preserve">محمد بن أحمد بن إبراهيم بن يحيى الاسيوطي القاضي عز الدين محمد بن أحمد بن إبراهيم بن يحيى الاسيوطي القاضي عز الدين ولد سنة 650 وتفقه على الضياء بن عبد الرحيم والنصير بن الطباخ والسديد التزمنتي وبحث في مختصر ابن الحاجب الفروعي على الفقيه ناصر الدين الانباري قاضي الإسكندرية وأخذ المنطق عن سيف الدين البغدادي وقرأ بالسبع على النور الكفتي وقرأ أجزاء عدة عن الرضى وتصدر للإقراء وتخرج به جماعة قال الذهبي كان من جلة العلماء وولي قضاء الكرك مدة طويلة نحو ثلاثين سنة ومات في شعبان سنة 725 وهو والد شيخنا بالإجازة جمال الدين إبراهيم نزيل مكة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2026-06-22T09:38:31+03:00</dcterms:created>
  <dcterms:modified xsi:type="dcterms:W3CDTF">2026-06-22T09:38:31+03:00</dcterms:modified>
</cp:coreProperties>
</file>

<file path=docProps/custom.xml><?xml version="1.0" encoding="utf-8"?>
<Properties xmlns="http://schemas.openxmlformats.org/officeDocument/2006/custom-properties" xmlns:vt="http://schemas.openxmlformats.org/officeDocument/2006/docPropsVTypes"/>
</file>