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إبراهيم بن يعقوب المكي جمال الدين
</w:t>
      </w:r>
    </w:p>
    <w:p>
      <w:pPr>
        <w:jc w:val="start"/>
        <w:bidi/>
      </w:pPr>
      <w:r>
        <w:rPr>
          <w:rFonts w:ascii="arial" w:hAnsi="arial" w:eastAsia="arial" w:cs="arial"/>
          <w:sz w:val="28"/>
          <w:szCs w:val="28"/>
          <w:b w:val="1"/>
          <w:bCs w:val="1"/>
          <w:rtl/>
        </w:rPr>
        <w:t xml:space="preserve">محمد بن أحمد بن إبراهيم بن يعقوب المكي جمال الدين
</w:t>
      </w:r>
    </w:p>
    <w:p>
      <w:pPr/>
      <w:r>
        <w:rPr/>
        <w:t xml:space="preserve">محمد بن أحمد بن إبراهيم بن يعقوب المكي جمال الدين محمد بن أحمد بن إبراهيم بن يعقوب المكي جمال الدين ابن البرهان سمع الرضى والصفي الطبريين واشتغل وأخذ عن الشيخ عفيف الدين اليافعي وتفقه ودرس وباشر العقود والخطابة نيابة عن الحرازي بمكة ومات بمكة في ذي القعدة سنة 765 أرخه شيخنا ابن سكر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يعقوب بن أبي بكر جمال الدين المعروف بابن البرهاني الطبري المكي الشافعي الفقيه المفتي
</w:t>
      </w:r>
    </w:p>
    <w:p>
      <w:pPr/>
      <w:r>
        <w:rPr/>
        <w:t xml:space="preserve">محمد بن أحمد بن إبراهيم بن يعقوب بن أبي بكر جمال الدين، المعروف بابن البرهاني، الطبري، المكي، الشافعي، الفقيه، المفتي: </w:t>
      </w:r>
    </w:p>
    <w:p/>
    <w:p>
      <w:pPr/>
      <w:r>
        <w:rPr/>
        <w:t xml:space="preserve">سمع من الصفي والرضى الطبريين: صحيح البخاري، وغير ذلك علي الرضى وغيره.</w:t>
      </w:r>
    </w:p>
    <w:p/>
    <w:p>
      <w:pPr/>
      <w:r>
        <w:rPr/>
        <w:t xml:space="preserve">وتفقه على الشيخ نجم الأصفواني وغيره. وأخذ الفرائض عن الشيخ عبد الله اليافعي.</w:t>
      </w:r>
    </w:p>
    <w:p/>
    <w:p>
      <w:pPr/>
      <w:r>
        <w:rPr/>
        <w:t xml:space="preserve">ومن شيوخه في العلم: العلامة مصلح الدين موسى بن أمير حاج الرومي، المعروف بملك العلماء.</w:t>
      </w:r>
    </w:p>
    <w:p/>
    <w:p>
      <w:pPr/>
      <w:r>
        <w:rPr/>
        <w:t xml:space="preserve">وكان فقيها فاضلا دينا، صالحا مباركا مشهورا بالخير. درس بالحرم الشريف وأفتى وحدث.</w:t>
      </w:r>
    </w:p>
    <w:p/>
    <w:p>
      <w:pPr/>
      <w:r>
        <w:rPr/>
        <w:t xml:space="preserve">سمع منه المحدث جمال الدين بن عبد الله بن حديدة في سنة سبع وأربعين وسبعمائة. وشيخنا ابن شكر بعد ذلك وغيره من شيوخنا.</w:t>
      </w:r>
    </w:p>
    <w:p/>
    <w:p>
      <w:pPr/>
      <w:r>
        <w:rPr/>
        <w:t xml:space="preserve">وناب في الخطابة عن التاج الخطيب الطبري. وعن القاضي تقي الدين الحرازي. وناب في العقود عن القاضي شهاب الدين الطبري، والقاضي أبي الفضل النويري.</w:t>
      </w:r>
    </w:p>
    <w:p/>
    <w:p>
      <w:pPr/>
      <w:r>
        <w:rPr/>
        <w:t xml:space="preserve">توفى ظهر يوم الخميس الثاني عشر من ذي القعدة سنة خمس وستين وسبعمائة بمكة ودفن بالمعلاة. هكذا وجدت تاريخ وفاته بخط شيخنا ابن شكر.</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2026-06-22T09:36:43+03:00</dcterms:created>
  <dcterms:modified xsi:type="dcterms:W3CDTF">2026-06-22T09:36:43+03:00</dcterms:modified>
</cp:coreProperties>
</file>

<file path=docProps/custom.xml><?xml version="1.0" encoding="utf-8"?>
<Properties xmlns="http://schemas.openxmlformats.org/officeDocument/2006/custom-properties" xmlns:vt="http://schemas.openxmlformats.org/officeDocument/2006/docPropsVTypes"/>
</file>