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إبراهيم بن أحمد
</w:t>
      </w:r>
    </w:p>
    <w:p>
      <w:pPr>
        <w:jc w:val="start"/>
        <w:bidi/>
      </w:pPr>
      <w:r>
        <w:rPr>
          <w:rFonts w:ascii="arial" w:hAnsi="arial" w:eastAsia="arial" w:cs="arial"/>
          <w:sz w:val="28"/>
          <w:szCs w:val="28"/>
          <w:b w:val="1"/>
          <w:bCs w:val="1"/>
          <w:rtl/>
        </w:rPr>
        <w:t xml:space="preserve">محمد بن أحمد بن إبراهيم بن أحمد
</w:t>
      </w:r>
    </w:p>
    <w:p>
      <w:pPr/>
      <w:r>
        <w:rPr/>
        <w:t xml:space="preserve">محمد بن أحمد بن إبراهيم بن أحمد محمد بن أحمد بن إبراهيم بن أحمد الخراساني الأصل التلمساني المولد نزيل مصر موفق الدين ولد في رمضان سنة 614 وسمع من ابن المقير وابن الجميزي وابن رواج وغيرهم وطلب قليلا ولزم طريق الصلاح والعبادة مع سلامة الباطن مات في جمادى الآخرة سنة 704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أحمد الخراساني التلمساني الدار
</w:t>
      </w:r>
    </w:p>
    <w:p>
      <w:pPr/>
      <w:r>
        <w:rPr/>
        <w:t xml:space="preserve">محمد بن أحمد بن إبراهيم بن أحمد الخراساني التلمساني الدار مولده بها في ثلاث رمضان المعظم عام 614 يدعى موفق الدين</w:t>
      </w:r>
    </w:p>
    <w:p/>
    <w:p>
      <w:pPr/>
      <w:r>
        <w:rPr/>
        <w:t xml:space="preserve">سكن بالقاهرة وسمع من بهاء الدين الجميزي، وألبسه خرقة التصوف، وأجاز له، وأجاز هو لابن جابر، ولم يذكر وفاته.</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2026-06-22T09:29:49+03:00</dcterms:created>
  <dcterms:modified xsi:type="dcterms:W3CDTF">2026-06-22T09:29:49+03:00</dcterms:modified>
</cp:coreProperties>
</file>

<file path=docProps/custom.xml><?xml version="1.0" encoding="utf-8"?>
<Properties xmlns="http://schemas.openxmlformats.org/officeDocument/2006/custom-properties" xmlns:vt="http://schemas.openxmlformats.org/officeDocument/2006/docPropsVTypes"/>
</file>