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الزنجيلي الدمشقى
</w:t>
      </w:r>
    </w:p>
    <w:p>
      <w:pPr>
        <w:jc w:val="start"/>
        <w:bidi/>
      </w:pPr>
      <w:r>
        <w:rPr>
          <w:rFonts w:ascii="arial" w:hAnsi="arial" w:eastAsia="arial" w:cs="arial"/>
          <w:sz w:val="28"/>
          <w:szCs w:val="28"/>
          <w:b w:val="1"/>
          <w:bCs w:val="1"/>
          <w:rtl/>
        </w:rPr>
        <w:t xml:space="preserve">محمد بن إبراهيم الزنجيلي الدمشقى
</w:t>
      </w:r>
    </w:p>
    <w:p>
      <w:pPr/>
      <w:r>
        <w:rPr/>
        <w:t xml:space="preserve">محمد بن إبراهيم الزنجيلي الدمشقى محمد بن إبراهيم الزنجيلي الدمشقى ولد بعد الستين وستمائة وقرأ بالروايات على الفاضلي والدمياطي وغيرهما واشتغل في الفقه ودرس بالرنجيلية وكتب الخط المنسوب وبرع في الشروط وصحب ابن صصرى مدة حكمه قال الذهبي كان عدلا صينا جيد المشاركة في الفنون باشر مشيخة الإقراء بالتربة العادلية مرة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2026-06-22T09:31:55+03:00</dcterms:created>
  <dcterms:modified xsi:type="dcterms:W3CDTF">2026-06-22T09:31:55+03:00</dcterms:modified>
</cp:coreProperties>
</file>

<file path=docProps/custom.xml><?xml version="1.0" encoding="utf-8"?>
<Properties xmlns="http://schemas.openxmlformats.org/officeDocument/2006/custom-properties" xmlns:vt="http://schemas.openxmlformats.org/officeDocument/2006/docPropsVTypes"/>
</file>