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منصور بن علي
</w:t>
      </w:r>
    </w:p>
    <w:p>
      <w:pPr>
        <w:jc w:val="start"/>
        <w:bidi/>
      </w:pPr>
      <w:r>
        <w:rPr>
          <w:rFonts w:ascii="arial" w:hAnsi="arial" w:eastAsia="arial" w:cs="arial"/>
          <w:sz w:val="28"/>
          <w:szCs w:val="28"/>
          <w:b w:val="1"/>
          <w:bCs w:val="1"/>
          <w:rtl/>
        </w:rPr>
        <w:t xml:space="preserve">محمد بن إبراهيم بن منصور بن علي
</w:t>
      </w:r>
    </w:p>
    <w:p>
      <w:pPr/>
      <w:r>
        <w:rPr/>
        <w:t xml:space="preserve">محمد بن إبراهيم بن منصور بن علي محمد بن إبراهيم بن منصور بن علي المزي ثم الدمشقي سمع من ابن مشرف والتقي سليمان وغيرهما وبمصر من الحسن الكردي وحدث وأجاز له ابن الموازيني وآخرون وطلب بنفسه وكتب الطباق وكان يشهد على القضاة مات في صفر سنة 752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2026-06-22T09:31:17+03:00</dcterms:created>
  <dcterms:modified xsi:type="dcterms:W3CDTF">2026-06-22T09:31:17+03:00</dcterms:modified>
</cp:coreProperties>
</file>

<file path=docProps/custom.xml><?xml version="1.0" encoding="utf-8"?>
<Properties xmlns="http://schemas.openxmlformats.org/officeDocument/2006/custom-properties" xmlns:vt="http://schemas.openxmlformats.org/officeDocument/2006/docPropsVTypes"/>
</file>