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مري بن ربيعة
</w:t>
      </w:r>
    </w:p>
    <w:p>
      <w:pPr>
        <w:jc w:val="start"/>
        <w:bidi/>
      </w:pPr>
      <w:r>
        <w:rPr>
          <w:rFonts w:ascii="arial" w:hAnsi="arial" w:eastAsia="arial" w:cs="arial"/>
          <w:sz w:val="28"/>
          <w:szCs w:val="28"/>
          <w:b w:val="1"/>
          <w:bCs w:val="1"/>
          <w:rtl/>
        </w:rPr>
        <w:t xml:space="preserve">محمد بن إبراهيم بن مري بن ربيعة
</w:t>
      </w:r>
    </w:p>
    <w:p>
      <w:pPr/>
      <w:r>
        <w:rPr/>
        <w:t xml:space="preserve">محمد بن إبراهيم بن مري بن ربيعة محمد بن إبراهيم بن مري بن ربيعة المقدسي الطحان ولد سنة 645 وسمع على محمد بن إسماعيل خطيب مردا وابن عبد الدائم مات سنة 725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مرى بن ربيعة أبو عبد الله الجيتي ثم الصالحي الطحان
</w:t>
      </w:r>
    </w:p>
    <w:p>
      <w:pPr/>
      <w:r>
        <w:rPr/>
        <w:t xml:space="preserve">محمد بن إبراهيم بن مرى بن ربيعة أبو عبد الله الجيتي ثم الصالحي الطحان روى عن خطيب مردا، وإبراهيم بن خليل، وجماعة، وحسنت في أواخر أيامه سيرته ولد سنة خمس وأربعين وست مائة.</w:t>
      </w:r>
    </w:p>
    <w:p/>
    <w:p>
      <w:pPr/>
      <w:r>
        <w:rPr/>
        <w:t xml:space="preserve">ومات في سنة خمس وعشرين وسبع مائة.</w:t>
      </w:r>
    </w:p>
    <w:p/>
    <w:p>
      <w:pPr/>
      <w:r>
        <w:rPr/>
        <w:t xml:space="preserve">وكان قانعا متعففا روى لنا أجزاء، مرت الرواية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2026-06-22T09:31:55+03:00</dcterms:created>
  <dcterms:modified xsi:type="dcterms:W3CDTF">2026-06-22T09:31:55+03:00</dcterms:modified>
</cp:coreProperties>
</file>

<file path=docProps/custom.xml><?xml version="1.0" encoding="utf-8"?>
<Properties xmlns="http://schemas.openxmlformats.org/officeDocument/2006/custom-properties" xmlns:vt="http://schemas.openxmlformats.org/officeDocument/2006/docPropsVTypes"/>
</file>