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محمد بن محمد الأنصاري الغرناطي المعروف بالصنادع
</w:t>
      </w:r>
    </w:p>
    <w:p>
      <w:pPr>
        <w:jc w:val="start"/>
        <w:bidi/>
      </w:pPr>
      <w:r>
        <w:rPr>
          <w:rFonts w:ascii="arial" w:hAnsi="arial" w:eastAsia="arial" w:cs="arial"/>
          <w:sz w:val="28"/>
          <w:szCs w:val="28"/>
          <w:b w:val="1"/>
          <w:bCs w:val="1"/>
          <w:rtl/>
        </w:rPr>
        <w:t xml:space="preserve">محمد بن إبراهيم بن محمد بن محمد الأنصاري الغرناطي المعروف بالصنادع
</w:t>
      </w:r>
    </w:p>
    <w:p>
      <w:pPr/>
      <w:r>
        <w:rPr/>
        <w:t xml:space="preserve">محمد بن إبراهيم بن محمد بن محمد الأنصاري الغرناطي المعروف بالصنادع محمد بن إبراهيم بن محمد بن محمد الأنصاري الغرناطي المعروف بالصنادع الصالح قال ابن الخطيب ولد سنة وأخذ عن أبي جعفر بن الزبير وسلك على يد أبي عبد الله الساحلي وكان حسن السمت طاهر الوضاءة كثير الذكر وكان على سنن الخيار من الفضلاء له حظ من طلب ومشاركة يقوم بها على ما يحتاج إليه من أمر دينه ويتكلم على طريقة شيخه وكان يميل إلى الكيميا ليستعين بها زعم على ما يؤمله من الخير فلم يحظ بطائل وكان محببا إلى أهل الثغور والبادية يعمل الرحلة إلى حصونهم فيتألفون عليه تألف النحل على اليعسوب معلنين بالذكر مهرولين يغشون مثواه بأفدانهم على حالها ويتنافسون في القرب منه ويباشرون العمل في أرض له كان يزرعها فيعود عليه نفعها ومات في 7 شوال سنة 749 وكانت جنازته حافلة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2026-06-23T12:29:31+03:00</dcterms:created>
  <dcterms:modified xsi:type="dcterms:W3CDTF">2026-06-23T12:29:31+03:00</dcterms:modified>
</cp:coreProperties>
</file>

<file path=docProps/custom.xml><?xml version="1.0" encoding="utf-8"?>
<Properties xmlns="http://schemas.openxmlformats.org/officeDocument/2006/custom-properties" xmlns:vt="http://schemas.openxmlformats.org/officeDocument/2006/docPropsVTypes"/>
</file>