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سنبلي بن ايوب
</w:t>
      </w:r>
    </w:p>
    <w:p>
      <w:pPr>
        <w:jc w:val="start"/>
        <w:bidi/>
      </w:pPr>
      <w:r>
        <w:rPr>
          <w:rFonts w:ascii="arial" w:hAnsi="arial" w:eastAsia="arial" w:cs="arial"/>
          <w:sz w:val="28"/>
          <w:szCs w:val="28"/>
          <w:b w:val="1"/>
          <w:bCs w:val="1"/>
          <w:rtl/>
        </w:rPr>
        <w:t xml:space="preserve">محمد بن إبراهيم بن سنبلي بن ايوب
</w:t>
      </w:r>
    </w:p>
    <w:p>
      <w:pPr/>
      <w:r>
        <w:rPr/>
        <w:t xml:space="preserve">محمد بن إبراهيم بن سنبلي بن ايوب محمد بن إبراهيم بن سنبلي بن ايوب بن قراجا بن يوسف المقرئ حافظ الدين بن تاج الدين القيصري الح لبي الحنفي كان عالما مواظبا على التلاوة وكان اخذ عن ابن بصخان القرا ات وعن شمس الدين المقدسي ولبس الخرقة من ابن الشيخ عبد القادر وأخذ الفقه عن بدر الدين ابن الفويرة وباشر التدريس وولي قضاء العسكر بحلب ثم بدمشق مدة ثم ترك الوظائف وانقطع للعبادة إلى أن مات في سنة 780 واستقر ولده جمال الدين محمود في وظائفه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2026-06-23T13:26:24+03:00</dcterms:created>
  <dcterms:modified xsi:type="dcterms:W3CDTF">2026-06-23T13:26:24+03:00</dcterms:modified>
</cp:coreProperties>
</file>

<file path=docProps/custom.xml><?xml version="1.0" encoding="utf-8"?>
<Properties xmlns="http://schemas.openxmlformats.org/officeDocument/2006/custom-properties" xmlns:vt="http://schemas.openxmlformats.org/officeDocument/2006/docPropsVTypes"/>
</file>