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إبراهيم بن داود
</w:t>
      </w:r>
    </w:p>
    <w:p>
      <w:pPr>
        <w:jc w:val="start"/>
        <w:bidi/>
      </w:pPr>
      <w:r>
        <w:rPr>
          <w:rFonts w:ascii="arial" w:hAnsi="arial" w:eastAsia="arial" w:cs="arial"/>
          <w:sz w:val="28"/>
          <w:szCs w:val="28"/>
          <w:b w:val="1"/>
          <w:bCs w:val="1"/>
          <w:rtl/>
        </w:rPr>
        <w:t xml:space="preserve">محمد بن إبراهيم بن إبراهيم بن داود
</w:t>
      </w:r>
    </w:p>
    <w:p>
      <w:pPr/>
      <w:r>
        <w:rPr/>
        <w:t xml:space="preserve">محمد بن إبراهيم بن إبراهيم بن داود محمد بن إبراهيم بن إبراهيم بن داود بن حازم الأذرعي ثم الدمشقي ولد سنة 644 وسمع من ابن عبد الدائم وشيخ الشيوخ بحماة وابن النشبي واشتغل في الفقه على الرشيد سعيد بن علي بن سعيد وابن الشماع عماد الدين محمد بن عثمان المارديني وأخذ العربية عن ابن مالك واشتغل في الفنون فمهر ودرس بالشبلية وغيرها بدمشق وأقام بحلب مدة ثم ولي قضاء دمشق في ذي القعدة سنة 705 واتفق أن البريدي الذي أحضر توقيعه غلط فتوجه به إلى القاضي المستقر وهو شمس الدين أبي الحريري ففرج وظن أنه له باستمراره فلما قرئ علم الغلط فرجع به البريدي إلى الاذرعي ثم صرف الاذرعي بعد سنة ونعل القاهرة في سنة 712 فمرض بها أياما ومات في خامس شهر رجب منها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2026-06-23T13:26:38+03:00</dcterms:created>
  <dcterms:modified xsi:type="dcterms:W3CDTF">2026-06-23T13:26:38+03:00</dcterms:modified>
</cp:coreProperties>
</file>

<file path=docProps/custom.xml><?xml version="1.0" encoding="utf-8"?>
<Properties xmlns="http://schemas.openxmlformats.org/officeDocument/2006/custom-properties" xmlns:vt="http://schemas.openxmlformats.org/officeDocument/2006/docPropsVTypes"/>
</file>