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بن تاج الدين موسى بن أبي شاكر
</w:t>
      </w:r>
    </w:p>
    <w:p>
      <w:pPr>
        <w:jc w:val="start"/>
        <w:bidi/>
      </w:pPr>
      <w:r>
        <w:rPr>
          <w:rFonts w:ascii="arial" w:hAnsi="arial" w:eastAsia="arial" w:cs="arial"/>
          <w:sz w:val="28"/>
          <w:szCs w:val="28"/>
          <w:b w:val="1"/>
          <w:bCs w:val="1"/>
          <w:rtl/>
        </w:rPr>
        <w:t xml:space="preserve">ماجد بن تاج الدين موسى بن أبي شاكر
</w:t>
      </w:r>
    </w:p>
    <w:p>
      <w:pPr/>
      <w:r>
        <w:rPr/>
        <w:t xml:space="preserve">ماجد بن تاج الدين موسى بن أبي شاكر ماجد بن تاج الدين موسى بن أبي شاكر القبطي المصري فخر الدين صاحب ديوان يلبغا وولى الوزارة في دولة الأشرف ونظر الخاص ومات في سنة 776 وأبوه حي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2026-06-23T13:27:17+03:00</dcterms:created>
  <dcterms:modified xsi:type="dcterms:W3CDTF">2026-06-23T13:27:17+03:00</dcterms:modified>
</cp:coreProperties>
</file>

<file path=docProps/custom.xml><?xml version="1.0" encoding="utf-8"?>
<Properties xmlns="http://schemas.openxmlformats.org/officeDocument/2006/custom-properties" xmlns:vt="http://schemas.openxmlformats.org/officeDocument/2006/docPropsVTypes"/>
</file>