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مدين القوصوني
</w:t>
      </w:r>
    </w:p>
    <w:p>
      <w:pPr>
        <w:jc w:val="start"/>
        <w:bidi/>
      </w:pPr>
      <w:r>
        <w:rPr>
          <w:rFonts w:ascii="arial" w:hAnsi="arial" w:eastAsia="arial" w:cs="arial"/>
          <w:sz w:val="28"/>
          <w:szCs w:val="28"/>
          <w:b w:val="1"/>
          <w:bCs w:val="1"/>
          <w:rtl/>
        </w:rPr>
        <w:t xml:space="preserve">مدين القوصوني
</w:t>
      </w:r>
    </w:p>
    <w:p>
      <w:pPr/>
      <w:r>
        <w:rPr/>
        <w:t xml:space="preserve">مدين القوصوني مدين بن عبد الرحمن القوصوني: رئيس الأطباء بمصر، في عصره. له باع في الأدب والتاريخ. من كتبه (ريحان الألباب وريعان الشباب في مراتب الآداب) و (قاموس الأطباء وناموس الألباء - خ) في المفردات الطبية، فرغ منه سنة 1044 و (طيبات الأنباء في طبقات الأطباء) و (تاريخ) حافل، أشار اليه المحبي ولم يسمه. وسماه البغدادي (تاريخ مصر) وفي خزانة الرباط (1766 كتاني) مخطوط باسم (تحفة المحب في صناعة الطب) تأليف (بدر الدين القوصوني، رئيس الأطباء) جاء اسمه في ظاهر النسخة (هدية المحب في صناعة الطب) وهو جزء لطيف بخط مشرقي فيه قدم. توفي القوصوني بمصر.</w:t>
      </w:r>
    </w:p>
    <w:p>
      <w:pPr>
        <w:jc w:val="start"/>
        <w:bidi/>
      </w:pPr>
      <w:r>
        <w:rPr>
          <w:sz w:val="24"/>
          <w:szCs w:val="24"/>
          <w:b w:val="1"/>
          <w:bCs w:val="1"/>
          <w:rtl/>
        </w:rPr>
        <w:t xml:space="preserve">
الأعلام،(دار العلم للملايين - بيروت،2002،ط 15،ج 7،ص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2026-05-17T01:35:33+03:00</dcterms:created>
  <dcterms:modified xsi:type="dcterms:W3CDTF">2026-05-17T01:35:33+03:00</dcterms:modified>
</cp:coreProperties>
</file>

<file path=docProps/custom.xml><?xml version="1.0" encoding="utf-8"?>
<Properties xmlns="http://schemas.openxmlformats.org/officeDocument/2006/custom-properties" xmlns:vt="http://schemas.openxmlformats.org/officeDocument/2006/docPropsVTypes"/>
</file>