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مخرم بن حزن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مخرم بن حزن
</w:t>
      </w:r>
    </w:p>
    <w:p>
      <w:pPr/>
      <w:r>
        <w:rPr/>
        <w:t xml:space="preserve">مخرم بن حزن  مخرم بن حزن بن زياد بن الحارث بن كعب المذحجي: شاعر جاهلي. يعرف بامه (فكهة) وهو القائل، من أبيات:</w:t>
      </w:r>
    </w:p>
    <w:p/>
    <w:p>
      <w:pPr>
        <w:jc w:val="center"/>
      </w:pPr>
      <w:r>
        <w:rPr>
          <w:color w:val="ff0000"/>
        </w:rPr>
        <w:t xml:space="preserve">لقد علمت هوازن أن قومي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غداة الروع صادقة الصباح</w:t>
      </w:r>
    </w:p>
    <w:p/>
    <w:p>
      <w:pPr/>
      <w:r>
        <w:rPr/>
        <w:t xml:space="preserve">ومحلة (المخرم) ببغداد، منسوبة إلى احد ابنائه.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2026-05-17T02:27:21+03:00</dcterms:created>
  <dcterms:modified xsi:type="dcterms:W3CDTF">2026-05-17T02:27:21+03:00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