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جملة
</w:t>
      </w:r>
    </w:p>
    <w:p>
      <w:pPr>
        <w:jc w:val="start"/>
        <w:bidi/>
      </w:pPr>
      <w:r>
        <w:rPr>
          <w:rFonts w:ascii="arial" w:hAnsi="arial" w:eastAsia="arial" w:cs="arial"/>
          <w:sz w:val="28"/>
          <w:szCs w:val="28"/>
          <w:b w:val="1"/>
          <w:bCs w:val="1"/>
          <w:rtl/>
        </w:rPr>
        <w:t xml:space="preserve">ابن جملة
</w:t>
      </w:r>
    </w:p>
    <w:p>
      <w:pPr/>
      <w:r>
        <w:rPr/>
        <w:t xml:space="preserve">ابن جملة  محمود بن محمد بن ابرهيم ابن جملة: خطيب الجامع الأموي بدمشق. من الشافعية. كان منقطعا للخطابة والافتاء والتأليف، لا يزور احدا. ولما دخل (يلبغا) دمشق مع المنصور زاراه فما احتفل بهما بل رد عليهما السلام وهو في المحراب. من كتبه (الوقاية الموضحة لشرف المصطفى-خ) و (تعليق) في الفقه والحديث. </w:t>
      </w:r>
    </w:p>
    <w:p>
      <w:pPr>
        <w:jc w:val="start"/>
        <w:bidi/>
      </w:pPr>
      <w:r>
        <w:rPr>
          <w:sz w:val="24"/>
          <w:szCs w:val="24"/>
          <w:b w:val="1"/>
          <w:bCs w:val="1"/>
          <w:rtl/>
        </w:rPr>
        <w:t xml:space="preserve">
الأعلام،(دار العلم للملايين - بيروت،2002،ط 15،ج 7،ص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2026-05-17T04:26:32+03:00</dcterms:created>
  <dcterms:modified xsi:type="dcterms:W3CDTF">2026-05-17T04:26:32+03:00</dcterms:modified>
</cp:coreProperties>
</file>

<file path=docProps/custom.xml><?xml version="1.0" encoding="utf-8"?>
<Properties xmlns="http://schemas.openxmlformats.org/officeDocument/2006/custom-properties" xmlns:vt="http://schemas.openxmlformats.org/officeDocument/2006/docPropsVTypes"/>
</file>