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المظفر
</w:t>
      </w:r>
    </w:p>
    <w:p>
      <w:pPr/>
      <w:r>
        <w:rPr/>
        <w:t xml:space="preserve">الملك المظفر  محمود (المظفر) بن محمد (المنصور) ابن محمود (المظفر) بن محمد (المنصور) ابن عمر ابن شاهنشاه بن ايوب: صاحب حماة. تولاها بعد وفات ابيه (سنة683هـ) وجاءه التقليد بها وبالمعرة وبارين، من السلطان منصور قلاوون في اوائل سنة684واستمر إلى ان توفى. وهو حفيد المظفر المترجم قبلا.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2026-05-17T04:30:01+03:00</dcterms:created>
  <dcterms:modified xsi:type="dcterms:W3CDTF">2026-05-17T04:30:01+03:00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