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العيون
</w:t>
      </w:r>
    </w:p>
    <w:p>
      <w:pPr>
        <w:jc w:val="start"/>
        <w:bidi/>
      </w:pPr>
      <w:r>
        <w:rPr>
          <w:rFonts w:ascii="arial" w:hAnsi="arial" w:eastAsia="arial" w:cs="arial"/>
          <w:sz w:val="28"/>
          <w:szCs w:val="28"/>
          <w:b w:val="1"/>
          <w:bCs w:val="1"/>
          <w:rtl/>
        </w:rPr>
        <w:t xml:space="preserve">أبو العيون
</w:t>
      </w:r>
    </w:p>
    <w:p>
      <w:pPr/>
      <w:r>
        <w:rPr/>
        <w:t xml:space="preserve">أبو العيون  محمود ابو العيون: فاضل ازهري مصري، اشتهر بكتاباته الكثيرة في محاربة التهتك والبغاء. ولد في (دلشوط) من قرى (ديروط) باسيوط. ومنح شهادة (العالمية) من الازهر سنة1326هـ. وعين مدرسا فيه، فمفتشا فشيخا لمعهد اسيوط، فمعهد الزقازيق، فمعهد الاسكندرية. ثم كان (سكرتيرا) عاما للازهر والمعاهد الدينية الاسلامية إلى ان توفى. وكان من خطباء الحركة الوطنية وكتابها (سنة 1919هـ) له كتب، منها (تاريخ العرب-ط) مختصر في ذكر الراشدين والعباسين، و (صفحة ذهبية-ط) في الغاء البغاء، رسالة، و (مذابح الاعراض-ط) مذكرة، و (موجز تاريخ مصر والاسلام-ط) شاركه في تأليفه محمد الحسيني رخا. </w:t>
      </w:r>
    </w:p>
    <w:p>
      <w:pPr>
        <w:jc w:val="start"/>
        <w:bidi/>
      </w:pPr>
      <w:r>
        <w:rPr>
          <w:sz w:val="24"/>
          <w:szCs w:val="24"/>
          <w:b w:val="1"/>
          <w:bCs w:val="1"/>
          <w:rtl/>
        </w:rPr>
        <w:t xml:space="preserve">
الأعلام،(دار العلم للملايين - بيروت،2002،ط 15،ج 7،ص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2026-05-17T04:28:54+03:00</dcterms:created>
  <dcterms:modified xsi:type="dcterms:W3CDTF">2026-05-17T04:28:54+03:00</dcterms:modified>
</cp:coreProperties>
</file>

<file path=docProps/custom.xml><?xml version="1.0" encoding="utf-8"?>
<Properties xmlns="http://schemas.openxmlformats.org/officeDocument/2006/custom-properties" xmlns:vt="http://schemas.openxmlformats.org/officeDocument/2006/docPropsVTypes"/>
</file>