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الدهشة
</w:t>
      </w:r>
    </w:p>
    <w:p>
      <w:pPr>
        <w:jc w:val="start"/>
        <w:bidi/>
      </w:pPr>
      <w:r>
        <w:rPr>
          <w:rFonts w:ascii="arial" w:hAnsi="arial" w:eastAsia="arial" w:cs="arial"/>
          <w:sz w:val="28"/>
          <w:szCs w:val="28"/>
          <w:b w:val="1"/>
          <w:bCs w:val="1"/>
          <w:rtl/>
        </w:rPr>
        <w:t xml:space="preserve">ابن خطيب الدهشة
</w:t>
      </w:r>
    </w:p>
    <w:p>
      <w:pPr/>
      <w:r>
        <w:rPr/>
        <w:t xml:space="preserve">ابن خطيب الدهشة  محمود بن أحمد بن محمد الهمذاني الفيومي الاصل، الحموي، الشافعي، ابو الثناء، نور الدين المعروف بابن الخطيب الدهشة: قاض، عالم بالحديث وغريبة. اصله من الفيوم (انظر ترجمة أبيه مؤلف المصباح في اللغة، أحمد بن محمد770) مولده ووفاته في حماة. من كتبه (تحفة ذوي الارب في مشكل الاسماء والنسب-ط) و (تهذيب المطالع لترغيب المطالع-خ) ستة مجلدات، الموجود منها خمسة، هذب به مطالع الانوار لابن قرقول في غريب الحديث، واختصره فسماه (التقريب في علم الغريب-خ) جزآن، (اليواقيت المضية في المواقيت الشرعية) و (وسيلة الاصابة في صنعة الكتابة-خ). </w:t>
      </w:r>
    </w:p>
    <w:p>
      <w:pPr>
        <w:jc w:val="start"/>
        <w:bidi/>
      </w:pPr>
      <w:r>
        <w:rPr>
          <w:sz w:val="24"/>
          <w:szCs w:val="24"/>
          <w:b w:val="1"/>
          <w:bCs w:val="1"/>
          <w:rtl/>
        </w:rPr>
        <w:t xml:space="preserve">
الأعلام،(دار العلم للملايين - بيروت،2002،ط 15،ج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محمد النور الهمذاني الفيومي الأصل الحموي الشافعي المعروف بابن خطيب الدهشة
</w:t>
      </w:r>
    </w:p>
    <w:p>
      <w:pPr/>
      <w:r>
        <w:rPr/>
        <w:t xml:space="preserve">محمود بن أحمد بن محمد النور الهمذاني الفيومي الأصل الحموي الشافعي المعروف بابن خطيب الدهشة </w:t>
      </w:r>
    </w:p>
    <w:p/>
    <w:p>
      <w:pPr/>
      <w:r>
        <w:rPr/>
        <w:t xml:space="preserve">تحول أبوه من الفيوم إلى حماه فاستوطنها وولى خطابة الدهشة وصنف بها المصباح المنير في غريب الشرح الكبير مجلدين وشرح عروض ابن الحاجب وله ديوان خطب وولد له ابنه هذا في سنة 750 خمسين</w:t>
      </w:r>
    </w:p>
    <w:p/>
    <w:p>
      <w:pPr/>
      <w:r>
        <w:rPr/>
        <w:t xml:space="preserve">وسبعمائة ونشأ فحفظ القرآن وكتباً وسمع من جماعة وتفقه على أهل بلده وارتحل إلى مصر والشام فأخذ عن أئمتهما وتقدم في الفقه وأصوله والعربية واللغة وغيرها وولى قضاء حماه ثم صرف ولزم منزله متصديا للإقراء والفتاوى والتصنيف فانتفع به أهل بلده واشتهر ذكره وصنف كثيرا كمختصر القوت للأذرعي في أربعة أجزاء وسماه إغاثة المحتاج إلى شرح المنهاج وتكملة شرح المنهاج للسبكي وهو في ثلاثة عشر مجلدا والتحفة في المبهمات وشرح ألفية ابن مالك والكافية في ثلاث مجلدات وتهذيب المطالع لابن قرقول في ست مجلدات واليواقيت المضية في المواقيت الشرعية وعمل منظومة نحو تسعين بيتا في الخط وشرحها ومات بحماه يوم الخميس سابع عشر شوال سنة 834 أربع وثلاثين وثمان مائة</w:t>
      </w:r>
    </w:p>
    <w:p>
      <w:pPr>
        <w:jc w:val="start"/>
        <w:bidi/>
      </w:pPr>
      <w:r>
        <w:rPr>
          <w:sz w:val="24"/>
          <w:szCs w:val="24"/>
          <w:b w:val="1"/>
          <w:bCs w:val="1"/>
          <w:rtl/>
        </w:rPr>
        <w:t xml:space="preserve">
البدر الطالع بمحاسن من بعد القرن السابع،(دار المعرفة - بيروت،0،ط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2026-06-10T05:04:04+03:00</dcterms:created>
  <dcterms:modified xsi:type="dcterms:W3CDTF">2026-06-10T05:04:04+03:00</dcterms:modified>
</cp:coreProperties>
</file>

<file path=docProps/custom.xml><?xml version="1.0" encoding="utf-8"?>
<Properties xmlns="http://schemas.openxmlformats.org/officeDocument/2006/custom-properties" xmlns:vt="http://schemas.openxmlformats.org/officeDocument/2006/docPropsVTypes"/>
</file>