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المرغيناني
</w:t>
      </w:r>
    </w:p>
    <w:p>
      <w:pPr>
        <w:jc w:val="start"/>
        <w:bidi/>
      </w:pPr>
      <w:r>
        <w:rPr>
          <w:rFonts w:ascii="arial" w:hAnsi="arial" w:eastAsia="arial" w:cs="arial"/>
          <w:sz w:val="28"/>
          <w:szCs w:val="28"/>
          <w:b w:val="1"/>
          <w:bCs w:val="1"/>
          <w:rtl/>
        </w:rPr>
        <w:t xml:space="preserve">المرغيناني
</w:t>
      </w:r>
    </w:p>
    <w:p>
      <w:pPr/>
      <w:r>
        <w:rPr/>
        <w:t xml:space="preserve">المرغيناني  محمود بن أحمد بن عبد العزيز بن عمر ابن مازه البخارى المرغيناني، برهان الدين: من اكابر فقهاء الحنفية. عده ابن كمال باشا من المجتهدين في المسائل. وهو من بيت علم عظيم في بلاده. ولد بمرغينان (من بلاد ما وراء النهر) وتوفي ببخارى. من كتبه (ذخيرة الفتاوي-خ) خمسة اجزاء، و (المحيط البرهاني-خ) أربع مجلدات، في الفقه، و (تتمة الفتاوي-خ) و (الواقعات) و (الطريقة البرهانية). </w:t>
      </w:r>
    </w:p>
    <w:p>
      <w:pPr>
        <w:jc w:val="start"/>
        <w:bidi/>
      </w:pPr>
      <w:r>
        <w:rPr>
          <w:sz w:val="24"/>
          <w:szCs w:val="24"/>
          <w:b w:val="1"/>
          <w:bCs w:val="1"/>
          <w:rtl/>
        </w:rPr>
        <w:t xml:space="preserve">
الأعلام،(دار العلم للملايين - بيروت،2002،ط 15،ج 7،ص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2026-05-17T07:21:05+03:00</dcterms:created>
  <dcterms:modified xsi:type="dcterms:W3CDTF">2026-05-17T07:21:05+03:00</dcterms:modified>
</cp:coreProperties>
</file>

<file path=docProps/custom.xml><?xml version="1.0" encoding="utf-8"?>
<Properties xmlns="http://schemas.openxmlformats.org/officeDocument/2006/custom-properties" xmlns:vt="http://schemas.openxmlformats.org/officeDocument/2006/docPropsVTypes"/>
</file>