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الثالث
</w:t>
      </w:r>
    </w:p>
    <w:p>
      <w:pPr>
        <w:jc w:val="start"/>
        <w:bidi/>
      </w:pPr>
      <w:r>
        <w:rPr>
          <w:rFonts w:ascii="arial" w:hAnsi="arial" w:eastAsia="arial" w:cs="arial"/>
          <w:sz w:val="28"/>
          <w:szCs w:val="28"/>
          <w:b w:val="1"/>
          <w:bCs w:val="1"/>
          <w:rtl/>
        </w:rPr>
        <w:t xml:space="preserve">المتوكل الثالث
</w:t>
      </w:r>
    </w:p>
    <w:p>
      <w:pPr/>
      <w:r>
        <w:rPr/>
        <w:t xml:space="preserve">المتوكل الثالث  محمد (المتوكل على الله) ابن يعقوب (المستمسك بالله) ابن عبد العزيز (المتوكل الثاني) ابن يعقوب العباسي: آخر خلفاء الدولة العباسية الثانية بمصر. نزل له أبوه عن أعمال الخلافة سنة914هـ ، قبل دخول السلطان سليم مصر، فلما دخلها سليم (سنة922هـ-1517م) قبض عليه وأخذه معه إلى الآستانة، ولم يقبض على ابيه لكبر سنه، فمكث مدة في بلاد الترك، ثم اطلقه السلطان سليم قبيل وفاته، فعاد إلى مصر. واجري له كل يوم 60درهما فأقام إلى أن توفى فيها. وبوفاته انقرضت الخلافة العباسية بمصر وغيرها. وكان اديبا فاضلا، له شعر. </w:t>
      </w:r>
    </w:p>
    <w:p>
      <w:pPr>
        <w:jc w:val="start"/>
        <w:bidi/>
      </w:pPr>
      <w:r>
        <w:rPr>
          <w:sz w:val="24"/>
          <w:szCs w:val="24"/>
          <w:b w:val="1"/>
          <w:bCs w:val="1"/>
          <w:rtl/>
        </w:rPr>
        <w:t xml:space="preserve">
الأعلام،(دار العلم للملايين - بيروت،2002،ط 15،ج 7،ص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2026-05-17T09:12:28+03:00</dcterms:created>
  <dcterms:modified xsi:type="dcterms:W3CDTF">2026-05-17T09:12:28+03:00</dcterms:modified>
</cp:coreProperties>
</file>

<file path=docProps/custom.xml><?xml version="1.0" encoding="utf-8"?>
<Properties xmlns="http://schemas.openxmlformats.org/officeDocument/2006/custom-properties" xmlns:vt="http://schemas.openxmlformats.org/officeDocument/2006/docPropsVTypes"/>
</file>