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القرافي
</w:t>
      </w:r>
    </w:p>
    <w:p>
      <w:pPr/>
      <w:r>
        <w:rPr/>
        <w:t xml:space="preserve">القرافي  محمد بن يحيى بن عمر بن أحمد بن يونس، بدر الدين القرافي: فقيه مالكي، لغوي، من أهل مصر. ولي قضاء المالكية فيها. له كتب منها (القول المأنوس بتحرير ما في القاموس-ط) لغة، و (رسالة في بعض احكام الوقف-خ) ومجموع (رسائل في الفقه-خ) و (توشيح الديباج-خ) لابن فرحون، في التراجم، صغير، و (شرح الموطأ) في الحديث. وله نظم ونثر.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عمر بن أحمد بن يونس النابلسي
</w:t>
      </w:r>
    </w:p>
    <w:p>
      <w:pPr/>
      <w:r>
        <w:rPr/>
        <w:t xml:space="preserve">محمد بن يحيى بن عمر بن أحمد بن يونس النابلسي القرافي شهرة، الأنصاري نسبا، القاضي أبو عبد الله: قاضي القضاة، بالقاهرة المعزية المالكي: لقبه بدر الدين القرافي.</w:t>
      </w:r>
    </w:p>
    <w:p/>
    <w:p>
      <w:pPr/>
      <w:r>
        <w:rPr/>
        <w:t xml:space="preserve">له تأليف كثيرة. منها: شرحه لمختصر خليل بن إسحاق في سبع مجلدات، ودذيا لديباج ابن فرحوه، وهو الذي أرج حاشية ناصر الدين اللقماني من هامش كتابه.</w:t>
      </w:r>
    </w:p>
    <w:p/>
    <w:p>
      <w:pPr/>
      <w:r>
        <w:rPr/>
        <w:t xml:space="preserve">أخذ عن والده، وعن أبي زيد: عبد الرحمن الأجهوري، واللقاني ناصر الدين وجماعة.</w:t>
      </w:r>
    </w:p>
    <w:p/>
    <w:p>
      <w:pPr/>
      <w:r>
        <w:rPr/>
        <w:t xml:space="preserve">وهي حي من أهل العصر. أدركته بمصر سنة 986. إلا أني لم ألقهم آخذ عنه، لم يرد الله تعالى ذلك. وكتب بخطه لشيخنا أبي عبد الله: محمد ابن قاسم القصار سنة 999.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2026-05-17T10:23:30+03:00</dcterms:created>
  <dcterms:modified xsi:type="dcterms:W3CDTF">2026-05-17T10:23:30+03:00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