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القاسمي
</w:t>
      </w:r>
    </w:p>
    <w:p>
      <w:pPr>
        <w:jc w:val="start"/>
        <w:bidi/>
      </w:pPr>
      <w:r>
        <w:rPr>
          <w:rFonts w:ascii="arial" w:hAnsi="arial" w:eastAsia="arial" w:cs="arial"/>
          <w:sz w:val="28"/>
          <w:szCs w:val="28"/>
          <w:b w:val="1"/>
          <w:bCs w:val="1"/>
          <w:rtl/>
        </w:rPr>
        <w:t xml:space="preserve">القاسمي
</w:t>
      </w:r>
    </w:p>
    <w:p>
      <w:pPr/>
      <w:r>
        <w:rPr/>
        <w:t xml:space="preserve">القاسمي  محمد بن يحيى بن صلاح القاسمي الحسنى: فقيه زيدي يمانى. له كتاب (الانوار - خ) جاء اسمه في ظاهره (كتاب الانوار المنتزع من البحر الزخار والتذكرة والانهار، مع لمع من البيان الشافي ومن كتاب إمامنا الزاكي، وآخر من شرح الدواري ومن كتاب السيد ابراهيم بن محمد بن عبد الله بن الهادى، وفرائد نفيسة من كلام الامام العالم المهدى لدين الله الحسين بن القاسم انتزعه محمد ابن يحيى الخ) وله (شرح الابيات الفخرية للامام الواثق المطهر بن محمد - خ) فرغ منه في ربيع الاول سنة 779 بهجرة الظهراوين. </w:t>
      </w:r>
    </w:p>
    <w:p>
      <w:pPr>
        <w:jc w:val="start"/>
        <w:bidi/>
      </w:pPr>
      <w:r>
        <w:rPr>
          <w:sz w:val="24"/>
          <w:szCs w:val="24"/>
          <w:b w:val="1"/>
          <w:bCs w:val="1"/>
          <w:rtl/>
        </w:rPr>
        <w:t xml:space="preserve">
الأعلام،(دار العلم للملايين - بيروت،2002،ط 15،ج 7،ص 140)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2026-05-17T10:22:40+03:00</dcterms:created>
  <dcterms:modified xsi:type="dcterms:W3CDTF">2026-05-17T10:22:40+03:00</dcterms:modified>
</cp:coreProperties>
</file>

<file path=docProps/custom.xml><?xml version="1.0" encoding="utf-8"?>
<Properties xmlns="http://schemas.openxmlformats.org/officeDocument/2006/custom-properties" xmlns:vt="http://schemas.openxmlformats.org/officeDocument/2006/docPropsVTypes"/>
</file>