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التاذفي
</w:t>
      </w:r>
    </w:p>
    <w:p>
      <w:pPr>
        <w:jc w:val="start"/>
        <w:bidi/>
      </w:pPr>
      <w:r>
        <w:rPr>
          <w:rFonts w:ascii="arial" w:hAnsi="arial" w:eastAsia="arial" w:cs="arial"/>
          <w:sz w:val="28"/>
          <w:szCs w:val="28"/>
          <w:b w:val="1"/>
          <w:bCs w:val="1"/>
          <w:rtl/>
        </w:rPr>
        <w:t xml:space="preserve">التاذفي
</w:t>
      </w:r>
    </w:p>
    <w:p>
      <w:pPr/>
      <w:r>
        <w:rPr/>
        <w:t xml:space="preserve">التاذفي  محمد بن يحيى بن يوسف الربعي التاذفي، ابو البركات، جلال الدين: قاض حنبلي، ثم حنفي. مولده ووفاته في حلب. ولي القضاء في (رشيد) بمصر، ثم في (حوران) بسورية. وعزل سنة949فاقام زمنا في حماة. وبها الف كتابة (قلائد الجواهر في مناقب الشيخ عبد القادر-ط) ضمنه اخبار جماعة من المنتسبين اليه، من القاطنين بحماة وغيرهم، و (شرح العروض الاندلسي-خ). </w:t>
      </w:r>
    </w:p>
    <w:p>
      <w:pPr>
        <w:jc w:val="start"/>
        <w:bidi/>
      </w:pPr>
      <w:r>
        <w:rPr>
          <w:sz w:val="24"/>
          <w:szCs w:val="24"/>
          <w:b w:val="1"/>
          <w:bCs w:val="1"/>
          <w:rtl/>
        </w:rPr>
        <w:t xml:space="preserve">
الأعلام،(دار العلم للملايين - بيروت،2002،ط 15،ج 7،ص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2026-05-17T10:23:26+03:00</dcterms:created>
  <dcterms:modified xsi:type="dcterms:W3CDTF">2026-05-17T10:23:26+03:00</dcterms:modified>
</cp:coreProperties>
</file>

<file path=docProps/custom.xml><?xml version="1.0" encoding="utf-8"?>
<Properties xmlns="http://schemas.openxmlformats.org/officeDocument/2006/custom-properties" xmlns:vt="http://schemas.openxmlformats.org/officeDocument/2006/docPropsVTypes"/>
</file>