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الكازروني
</w:t>
      </w:r>
    </w:p>
    <w:p>
      <w:pPr>
        <w:jc w:val="start"/>
        <w:bidi/>
      </w:pPr>
      <w:r>
        <w:rPr>
          <w:rFonts w:ascii="arial" w:hAnsi="arial" w:eastAsia="arial" w:cs="arial"/>
          <w:sz w:val="28"/>
          <w:szCs w:val="28"/>
          <w:b w:val="1"/>
          <w:bCs w:val="1"/>
          <w:rtl/>
        </w:rPr>
        <w:t xml:space="preserve">الكازروني
</w:t>
      </w:r>
    </w:p>
    <w:p>
      <w:pPr/>
      <w:r>
        <w:rPr/>
        <w:t xml:space="preserve">الكازروني  أحمد بن محمد بن خضر العمري الشافعي، نور الدين الكازروني: مفسر، جاور بمكة. له (الصراط المستقيم - خ) في تفسير القرآن. ممزوج، كتفسير الجلالين. نسخة جديرة بالنشر، في صوفية.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محمد الشهير بابن الخضر العمري الكازروني
</w:t>
      </w:r>
    </w:p>
    <w:p>
      <w:pPr/>
      <w:r>
        <w:rPr/>
        <w:t xml:space="preserve">الشيخ أحمد بن محمد الشهير بابن الخضر العمري الكازروني العالم الفاضل المحقق صنف التفسير المسى بالصراط المستقيم وهو تفسير لطيف كتفسير الجلالين وجيز اللفظ غزير المعنى فسر أكثره بمضمون الأحاديث الشريفة وهو مرغوب الفضلاء واشتهر اسمه ببغية الأبرار وبمطالع الأنوار</w:t>
      </w:r>
    </w:p>
    <w:p/>
    <w:p>
      <w:pPr/>
      <w:r>
        <w:rPr/>
        <w:t xml:space="preserve">توفي سنة إحدى وثلاثين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2026-07-04T10:56:45+03:00</dcterms:created>
  <dcterms:modified xsi:type="dcterms:W3CDTF">2026-07-04T10:56:45+03:00</dcterms:modified>
</cp:coreProperties>
</file>

<file path=docProps/custom.xml><?xml version="1.0" encoding="utf-8"?>
<Properties xmlns="http://schemas.openxmlformats.org/officeDocument/2006/custom-properties" xmlns:vt="http://schemas.openxmlformats.org/officeDocument/2006/docPropsVTypes"/>
</file>