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الفاضل
</w:t>
      </w:r>
    </w:p>
    <w:p>
      <w:pPr>
        <w:jc w:val="start"/>
        <w:bidi/>
      </w:pPr>
      <w:r>
        <w:rPr>
          <w:rFonts w:ascii="arial" w:hAnsi="arial" w:eastAsia="arial" w:cs="arial"/>
          <w:sz w:val="28"/>
          <w:szCs w:val="28"/>
          <w:b w:val="1"/>
          <w:bCs w:val="1"/>
          <w:rtl/>
        </w:rPr>
        <w:t xml:space="preserve">الشيخ الفاضل
</w:t>
      </w:r>
    </w:p>
    <w:p>
      <w:pPr/>
      <w:r>
        <w:rPr/>
        <w:t xml:space="preserve">الشيخ الفاضل محمد أبو هلال المعروف بالشيخ الفاضل: من أشياخ بني معروف (الدروز) وزهادهم.</w:t>
      </w:r>
    </w:p>
    <w:p/>
    <w:p>
      <w:pPr/>
      <w:r>
        <w:rPr/>
        <w:t xml:space="preserve">نشأ يتيما من الأب، في الشعيرة بوادي التيم (في سورية) وأقام في كوكبة وسفوح جبل الشيخ.</w:t>
      </w:r>
    </w:p>
    <w:p/>
    <w:p>
      <w:pPr/>
      <w:r>
        <w:rPr/>
        <w:t xml:space="preserve">وتوفي بعين عطا (بين حاصبيا وراشيا) كان يعمل في رعي المعزى وتربية دود القز، واتصل بشيخ اسمه محمد أبو عبادة فأخذ عنه المذهب وجاراه في العبادة والزهد. وغرق أبو عبادة في نهر الليطاني، فرحل أبو هلال إلى دمشق في طلب العلم، فحفظ القرآن وقرأ بعض تفسير البيضاوي وعاد إلى بلده فاشتهر. وكان له تلميذ من حلب يدعى عبد الملك بن يوسف الحلبي أبا علي أقام في خدمته عشر سنوات وصنف فيه كتابا سماه (آداب الشيخ الفاضل محمد أبي هلال - ط) في نهاية كتاب (التنوخي) لعجاج نويهض.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2026-05-17T12:49:17+03:00</dcterms:created>
  <dcterms:modified xsi:type="dcterms:W3CDTF">2026-05-17T12:49:17+03:00</dcterms:modified>
</cp:coreProperties>
</file>

<file path=docProps/custom.xml><?xml version="1.0" encoding="utf-8"?>
<Properties xmlns="http://schemas.openxmlformats.org/officeDocument/2006/custom-properties" xmlns:vt="http://schemas.openxmlformats.org/officeDocument/2006/docPropsVTypes"/>
</file>