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هدية
</w:t>
      </w:r>
    </w:p>
    <w:p>
      <w:pPr>
        <w:jc w:val="start"/>
        <w:bidi/>
      </w:pPr>
      <w:r>
        <w:rPr>
          <w:rFonts w:ascii="arial" w:hAnsi="arial" w:eastAsia="arial" w:cs="arial"/>
          <w:sz w:val="28"/>
          <w:szCs w:val="28"/>
          <w:b w:val="1"/>
          <w:bCs w:val="1"/>
          <w:rtl/>
        </w:rPr>
        <w:t xml:space="preserve">ابن هدية
</w:t>
      </w:r>
    </w:p>
    <w:p>
      <w:pPr/>
      <w:r>
        <w:rPr/>
        <w:t xml:space="preserve">ابن هدية  محمد بن منصور بن علي بن هدية القرشي التلمسان، ابو عبد الله: أديب، من القضاة. كان من الكتاب البغاء. ولي لقضاء بتلمسن. ثم قلدده سلطانها مع القضاء كتابه سره، وانزله فوق منزلة وزارئه، قلما يجري شيئا من أمور السلطنة الا بمشورته. له (شرح رسالة لمحمد بن عمر بن خميس الحجري) نظما ونثرا، و (تاريخ تلمسان). </w:t>
      </w:r>
    </w:p>
    <w:p>
      <w:pPr>
        <w:jc w:val="start"/>
        <w:bidi/>
      </w:pPr>
      <w:r>
        <w:rPr>
          <w:sz w:val="24"/>
          <w:szCs w:val="24"/>
          <w:b w:val="1"/>
          <w:bCs w:val="1"/>
          <w:rtl/>
        </w:rPr>
        <w:t xml:space="preserve">
الأعلام،(دار العلم للملايين - بيروت،2002،ط 15،ج 7،ص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2026-05-17T16:46:20+03:00</dcterms:created>
  <dcterms:modified xsi:type="dcterms:W3CDTF">2026-05-17T16:46:20+03:00</dcterms:modified>
</cp:coreProperties>
</file>

<file path=docProps/custom.xml><?xml version="1.0" encoding="utf-8"?>
<Properties xmlns="http://schemas.openxmlformats.org/officeDocument/2006/custom-properties" xmlns:vt="http://schemas.openxmlformats.org/officeDocument/2006/docPropsVTypes"/>
</file>