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النودهي
</w:t>
      </w:r>
    </w:p>
    <w:p>
      <w:pPr>
        <w:jc w:val="start"/>
        <w:bidi/>
      </w:pPr>
      <w:r>
        <w:rPr>
          <w:rFonts w:ascii="arial" w:hAnsi="arial" w:eastAsia="arial" w:cs="arial"/>
          <w:sz w:val="28"/>
          <w:szCs w:val="28"/>
          <w:b w:val="1"/>
          <w:bCs w:val="1"/>
          <w:rtl/>
        </w:rPr>
        <w:t xml:space="preserve">النودهي
</w:t>
      </w:r>
    </w:p>
    <w:p>
      <w:pPr/>
      <w:r>
        <w:rPr/>
        <w:t xml:space="preserve">النودهي  محمد معروف بن مصطفى بن أحمد النودهي الشهرزوري البرزنجي الشافعي، ويعرف بالشيخ معروف الندهي، وبالبرزنجي: باحث متثوف. من أهل قرية (نودي) بالسليمانية (في العراق) واليا نسبته. ولد في شهر بازار، وتوفي بالسليمانية. وهو من اسرة يتصل نسبها بالسيد عيسى البرزنجي الحسني. له تصانيف، منها (الفرائد في العقائد -ط) و (القطر العارض في علم الفرائض -ط) و (تنقيح العبارات في توضيح الاستعارات -ط) في البيان، و (الاحمدية في ترجمة العربية بالكردية -ط) و (تخميس البردة -ط) و (فتح الموفق في علم المنطق) و (وسيلة الوصول إلى علم الاصول) وغير ذلك. </w:t>
      </w:r>
    </w:p>
    <w:p>
      <w:pPr>
        <w:jc w:val="start"/>
        <w:bidi/>
      </w:pPr>
      <w:r>
        <w:rPr>
          <w:sz w:val="24"/>
          <w:szCs w:val="24"/>
          <w:b w:val="1"/>
          <w:bCs w:val="1"/>
          <w:rtl/>
        </w:rPr>
        <w:t xml:space="preserve">
الأعلام،(دار العلم للملايين - بيروت،2002،ط 15،ج 7،ص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2026-05-17T17:50:03+03:00</dcterms:created>
  <dcterms:modified xsi:type="dcterms:W3CDTF">2026-05-17T17:50:03+03:00</dcterms:modified>
</cp:coreProperties>
</file>

<file path=docProps/custom.xml><?xml version="1.0" encoding="utf-8"?>
<Properties xmlns="http://schemas.openxmlformats.org/officeDocument/2006/custom-properties" xmlns:vt="http://schemas.openxmlformats.org/officeDocument/2006/docPropsVTypes"/>
</file>