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المدني جنون
</w:t>
      </w:r>
    </w:p>
    <w:p>
      <w:pPr>
        <w:jc w:val="start"/>
        <w:bidi/>
      </w:pPr>
      <w:r>
        <w:rPr>
          <w:rFonts w:ascii="arial" w:hAnsi="arial" w:eastAsia="arial" w:cs="arial"/>
          <w:sz w:val="28"/>
          <w:szCs w:val="28"/>
          <w:b w:val="1"/>
          <w:bCs w:val="1"/>
          <w:rtl/>
        </w:rPr>
        <w:t xml:space="preserve">ابن المدني جنون
</w:t>
      </w:r>
    </w:p>
    <w:p>
      <w:pPr/>
      <w:r>
        <w:rPr/>
        <w:t xml:space="preserve">ابن المدني جنون  محمد بن المدني جنون، ابو عبد الله، المستاري أصلا، الفاسي مولدا وقرارا ووفاة: فقيه مالكي، من رجال الاصلاح الديني. أصله من بني (مستارة) يتصل نسبة بالادراسية. كان رأس علماء المغرب في القرن الثالث عشر، مفتيا محدثا لغويا، قوالا للق، نزيها، دؤوبا على نشر العلم والارشاد والنهي عن البدع. وأوذى بسبب ذلك، وسجن، فاعتصبت الطلبة وقامت قيامه الجمهور، فأطلق. قال الحجوي: (كان شديدا على أهل الطرق ومالهم من البدع التي شوهت جمال الدين، والمتصوفة اصحاب الدعاوي التي تكذبها الاحوال، وما كان احد يقدر على الرد عليه مع شدة اغلاظه عليهم وعلى غيرهم وسلوكه في ذلك مسلك التشديد بل التطرف في بعض المسائل) له تآليف، منها (التسلية والسلوان لمن ابتلى بالاذاية والبهتان -ط) وحاشية على موطأ مالك. سماها (التعليق الفاتح -ط) جزآن، و (العقد الفريد في بيان خروج العوام من ربقة التقليد -ط) و (نصيحة النذير العريان من مخالطة أهل الغيبة والنميمة والبهتان -ط) و (الاجوبة -ط) وكان نحيل الجسم، لكلامه تأثير في النفوس، ودروسه افضل من تآليفه.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2026-05-17T19:58:27+03:00</dcterms:created>
  <dcterms:modified xsi:type="dcterms:W3CDTF">2026-05-17T19:58:27+03:00</dcterms:modified>
</cp:coreProperties>
</file>

<file path=docProps/custom.xml><?xml version="1.0" encoding="utf-8"?>
<Properties xmlns="http://schemas.openxmlformats.org/officeDocument/2006/custom-properties" xmlns:vt="http://schemas.openxmlformats.org/officeDocument/2006/docPropsVTypes"/>
</file>