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 الأتاسي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 الأتاسي
</w:t>
      </w:r>
    </w:p>
    <w:p>
      <w:pPr/>
      <w:r>
        <w:rPr/>
        <w:t xml:space="preserve">النجم الأتاسي  محمد (نجم الدين) بن محمود، ابن مفتي حمص محمد بن عبد الستار الاتاسي: شاعر متفقه، له عناية بالتربية والتعليم. ولد وتوفي بحمص كان من أعضاء محكمة البداية فيها. ونهض بتأسيس المدرسة العلمية الاعدادية. وعين رئيسا لهيأة المعارف. جمع نظمه في (ديوان - خ) منه مقصورة جيدة أولها:</w:t>
      </w:r>
    </w:p>
    <w:p/>
    <w:p>
      <w:pPr>
        <w:jc w:val="center"/>
      </w:pPr>
      <w:r>
        <w:rPr>
          <w:color w:val="ff0000"/>
        </w:rPr>
        <w:t xml:space="preserve">حدت ركاب المزن انفاس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فرنحت اعطافها قضب الربى.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2026-05-17T20:54:29+03:00</dcterms:created>
  <dcterms:modified xsi:type="dcterms:W3CDTF">2026-05-17T20:54:29+03:00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