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الشرواني
</w:t>
      </w:r>
    </w:p>
    <w:p>
      <w:pPr>
        <w:jc w:val="start"/>
        <w:bidi/>
      </w:pPr>
      <w:r>
        <w:rPr>
          <w:rFonts w:ascii="arial" w:hAnsi="arial" w:eastAsia="arial" w:cs="arial"/>
          <w:sz w:val="28"/>
          <w:szCs w:val="28"/>
          <w:b w:val="1"/>
          <w:bCs w:val="1"/>
          <w:rtl/>
        </w:rPr>
        <w:t xml:space="preserve">الشرواني
</w:t>
      </w:r>
    </w:p>
    <w:p>
      <w:pPr/>
      <w:r>
        <w:rPr/>
        <w:t xml:space="preserve">الشرواني  محمد بن محمود بن حاجي الشرواني ثم القسطنطيني: طيب مستعرب. من أهل (شيروان) في بخاري. انتقل إلى القسطنطينية، وخدم بطبه لسلطان محمد خان (المتوفي سنة 886هـ) وكانت له معرفة بالتفسير والحديث وعلوم العربية. وحج وأقام بمصر مدة قرأ فيها على بعض علمائها، وعاد إلى الروم. له كتب، منها (روضة العطر -خ) في الطب، مجلد ضخم (رأيته في مكتبة الفتيكا 877 عبي) ومنه نسخة غير مسماة (او لعلها كتاب آخر، له، عربي في الطب ايضا) رأيتها في الورنزيانة، بفلورنس (رقم 241 شرقي) ولم تتيسر لي مقابلتها بالاولى. </w:t>
      </w:r>
    </w:p>
    <w:p>
      <w:pPr>
        <w:jc w:val="start"/>
        <w:bidi/>
      </w:pPr>
      <w:r>
        <w:rPr>
          <w:sz w:val="24"/>
          <w:szCs w:val="24"/>
          <w:b w:val="1"/>
          <w:bCs w:val="1"/>
          <w:rtl/>
        </w:rPr>
        <w:t xml:space="preserve">
الأعلام،(دار العلم للملايين - بيروت،2002،ط 15،ج 7،ص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2026-05-17T20:44:11+03:00</dcterms:created>
  <dcterms:modified xsi:type="dcterms:W3CDTF">2026-05-17T20:44:11+03:00</dcterms:modified>
</cp:coreProperties>
</file>

<file path=docProps/custom.xml><?xml version="1.0" encoding="utf-8"?>
<Properties xmlns="http://schemas.openxmlformats.org/officeDocument/2006/custom-properties" xmlns:vt="http://schemas.openxmlformats.org/officeDocument/2006/docPropsVTypes"/>
</file>