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الأصفهاني
</w:t>
      </w:r>
    </w:p>
    <w:p>
      <w:pPr>
        <w:jc w:val="start"/>
        <w:bidi/>
      </w:pPr>
      <w:r>
        <w:rPr>
          <w:rFonts w:ascii="arial" w:hAnsi="arial" w:eastAsia="arial" w:cs="arial"/>
          <w:sz w:val="28"/>
          <w:szCs w:val="28"/>
          <w:b w:val="1"/>
          <w:bCs w:val="1"/>
          <w:rtl/>
        </w:rPr>
        <w:t xml:space="preserve">الأصفهاني
</w:t>
      </w:r>
    </w:p>
    <w:p>
      <w:pPr/>
      <w:r>
        <w:rPr/>
        <w:t xml:space="preserve">الأصفهاني  محمد بن محمود بن محمد بن محمد بن عياد السلماني، ابو عبد اله، شمس الدي الاصفهاني: قاض، ن فقهاء السشافعية باصبهان. ولد وتعلم بها. وكان والده نائب السلطنة. ولما استولى العدو على اصبهان رحل إلى بغداد ثم إلى الروم. ودخل الشام بعد سنة 650 فولة قضاء (منبج) ثم توجه إلى مصر وولي قضاء قوص، فقضاء الكرك. واستقر آخر امره في القاهرة، مدرسا، وتوفي بها. له كتب، منها (شرح المحصول) في اصل الفقه، و (القواعد) في اصول الفقه والدين والمنطق والجدل، قال ابن شاكر: هو أحسن تصانيفه، و (غاية المطلب) في المنطق. </w:t>
      </w:r>
    </w:p>
    <w:p>
      <w:pPr>
        <w:jc w:val="start"/>
        <w:bidi/>
      </w:pPr>
      <w:r>
        <w:rPr>
          <w:sz w:val="24"/>
          <w:szCs w:val="24"/>
          <w:b w:val="1"/>
          <w:bCs w:val="1"/>
          <w:rtl/>
        </w:rPr>
        <w:t xml:space="preserve">
الأعلام،(دار العلم للملايين - بيروت،2002،ط 15،ج 7،ص 87)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2026-05-17T21:01:07+03:00</dcterms:created>
  <dcterms:modified xsi:type="dcterms:W3CDTF">2026-05-17T21:01:07+03:00</dcterms:modified>
</cp:coreProperties>
</file>

<file path=docProps/custom.xml><?xml version="1.0" encoding="utf-8"?>
<Properties xmlns="http://schemas.openxmlformats.org/officeDocument/2006/custom-properties" xmlns:vt="http://schemas.openxmlformats.org/officeDocument/2006/docPropsVTypes"/>
</file>