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فهد
</w:t>
      </w:r>
    </w:p>
    <w:p>
      <w:pPr/>
      <w:r>
        <w:rPr/>
        <w:t xml:space="preserve">ابن فهد  أحمد بن محمد بن فهد الأسدي الحلي: فقيه إمامي. مولده السيفية وإليها نسبته، ووفاته وقبره بكربلاء. له (المهذب البارع إلى شرح النافع) و (الموجز الحاوي) و (المحرر)كلها في الفقه، و (عدة الداعي - ط) و (التحصين في صفات العارفين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فهد الحلي
</w:t>
      </w:r>
    </w:p>
    <w:p>
      <w:pPr/>
      <w:r>
        <w:rPr/>
        <w:t xml:space="preserve">أحمد بن فهد الحلي يأتي بعنوان أحمد بن محمد بن فهد.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2026-07-04T09:15:39+03:00</dcterms:created>
  <dcterms:modified xsi:type="dcterms:W3CDTF">2026-07-04T09:15:39+03:00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