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اليازغي
</w:t>
      </w:r>
    </w:p>
    <w:p>
      <w:pPr>
        <w:jc w:val="start"/>
        <w:bidi/>
      </w:pPr>
      <w:r>
        <w:rPr>
          <w:rFonts w:ascii="arial" w:hAnsi="arial" w:eastAsia="arial" w:cs="arial"/>
          <w:sz w:val="28"/>
          <w:szCs w:val="28"/>
          <w:b w:val="1"/>
          <w:bCs w:val="1"/>
          <w:rtl/>
        </w:rPr>
        <w:t xml:space="preserve">اليازغي
</w:t>
      </w:r>
    </w:p>
    <w:p>
      <w:pPr/>
      <w:r>
        <w:rPr/>
        <w:t xml:space="preserve">اليازغي  محمد بن محمد بن عبد الرحمن الزهنى اليازغى: فقيه مالكى مشارك تولى قضاء مكناسة الزيتون ثم الحسبة بمراكش في دولة المولى عبد الرحمن. وكان المولى سليمان قد أمره أن يشرح كتاب (الشامل) للشيخ بهران في فقه المالكية، فشرع فيه ووصل إلى باب المرابحة. فأتمه علي التسولي. وما كتباه لا يزال محفوظا في خزانة القرويين. </w:t>
      </w:r>
    </w:p>
    <w:p>
      <w:pPr>
        <w:jc w:val="start"/>
        <w:bidi/>
      </w:pPr>
      <w:r>
        <w:rPr>
          <w:sz w:val="24"/>
          <w:szCs w:val="24"/>
          <w:b w:val="1"/>
          <w:bCs w:val="1"/>
          <w:rtl/>
        </w:rPr>
        <w:t xml:space="preserve">
الأعلام،(دار العلم للملايين - بيروت،2002،ط 15،ج 7،ص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2026-05-17T22:54:08+03:00</dcterms:created>
  <dcterms:modified xsi:type="dcterms:W3CDTF">2026-05-17T22:54:08+03:00</dcterms:modified>
</cp:coreProperties>
</file>

<file path=docProps/custom.xml><?xml version="1.0" encoding="utf-8"?>
<Properties xmlns="http://schemas.openxmlformats.org/officeDocument/2006/custom-properties" xmlns:vt="http://schemas.openxmlformats.org/officeDocument/2006/docPropsVTypes"/>
</file>