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الميداني
</w:t>
      </w:r>
    </w:p>
    <w:p>
      <w:pPr>
        <w:jc w:val="start"/>
        <w:bidi/>
      </w:pPr>
      <w:r>
        <w:rPr>
          <w:rFonts w:ascii="arial" w:hAnsi="arial" w:eastAsia="arial" w:cs="arial"/>
          <w:sz w:val="28"/>
          <w:szCs w:val="28"/>
          <w:b w:val="1"/>
          <w:bCs w:val="1"/>
          <w:rtl/>
        </w:rPr>
        <w:t xml:space="preserve">الميداني
</w:t>
      </w:r>
    </w:p>
    <w:p>
      <w:pPr/>
      <w:r>
        <w:rPr/>
        <w:t xml:space="preserve">الميداني  محمد بن محمد بن يوسف الميداني، شمس الدين: فقيه. اصله من حماة (في سورية) ومولده في الميدن بدمشق. جاور في الازهر بمصر تسع سنين، وعاد إلى دمشق فتصدر للتدريس نحو اربعين سنة. وعظم شأنه حتة كان الحكام لايستطيعون اللم خوفا منه، مع قلة اكثراثه بهم. وتوفي بدمشق. له (حاشية على شرح التحرير) في فقه الشافعية. ولم يعن بالتاليق. </w:t>
      </w:r>
    </w:p>
    <w:p>
      <w:pPr>
        <w:jc w:val="start"/>
        <w:bidi/>
      </w:pPr>
      <w:r>
        <w:rPr>
          <w:sz w:val="24"/>
          <w:szCs w:val="24"/>
          <w:b w:val="1"/>
          <w:bCs w:val="1"/>
          <w:rtl/>
        </w:rPr>
        <w:t xml:space="preserve">
الأعلام،(دار العلم للملايين - بيروت،2002،ط 15،ج 7،ص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2026-05-18T00:41:24+03:00</dcterms:created>
  <dcterms:modified xsi:type="dcterms:W3CDTF">2026-05-18T00:41:24+03:00</dcterms:modified>
</cp:coreProperties>
</file>

<file path=docProps/custom.xml><?xml version="1.0" encoding="utf-8"?>
<Properties xmlns="http://schemas.openxmlformats.org/officeDocument/2006/custom-properties" xmlns:vt="http://schemas.openxmlformats.org/officeDocument/2006/docPropsVTypes"/>
</file>