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الغزي
</w:t>
      </w:r>
    </w:p>
    <w:p>
      <w:pPr>
        <w:jc w:val="start"/>
        <w:bidi/>
      </w:pPr>
      <w:r>
        <w:rPr>
          <w:rFonts w:ascii="arial" w:hAnsi="arial" w:eastAsia="arial" w:cs="arial"/>
          <w:sz w:val="28"/>
          <w:szCs w:val="28"/>
          <w:b w:val="1"/>
          <w:bCs w:val="1"/>
          <w:rtl/>
        </w:rPr>
        <w:t xml:space="preserve">بدر الدين الغزي
</w:t>
      </w:r>
    </w:p>
    <w:p>
      <w:pPr/>
      <w:r>
        <w:rPr/>
        <w:t xml:space="preserve">بدر الدين الغزي  محمد بن محمد بن محمد الغزي العامري الدمشقي، ابو البركات، بدر الدين ابن رضي الدين: فقيه شافعي، عالم بالاصول والتفسير والحديث. مولده وفاته في دمشق. له مئة وبضعة عشر كتابا، منها ثلاثة تفاسير، وحواش وشروح كثيرة، ورسائ منها (المرح في المواخ -ط) و (المطالع البدرية في المازل الرومية -خ) و (جواهر الذخائر في الكبائر والصغائر -خ) قصيدة رائية في المواعظ. وهو ابو نجم الدين محمد المؤرخ، وقد جمع لبنه اسماء كتبه في كتاب افرده لذلك. ولزم بدر الدين لعزلة في اواسط عمره، فكان لايزور احدا من الاعيان ولا الحكام بل يقصدونه. وكان كريما محسنا جعل لتلاميذه رواتب واكسية وعطايا. </w:t>
      </w:r>
    </w:p>
    <w:p>
      <w:pPr>
        <w:jc w:val="start"/>
        <w:bidi/>
      </w:pPr>
      <w:r>
        <w:rPr>
          <w:sz w:val="24"/>
          <w:szCs w:val="24"/>
          <w:b w:val="1"/>
          <w:bCs w:val="1"/>
          <w:rtl/>
        </w:rPr>
        <w:t xml:space="preserve">
الأعلام،(دار العلم للملايين - بيروت،2002،ط 15،ج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2026-05-18T00:48:53+03:00</dcterms:created>
  <dcterms:modified xsi:type="dcterms:W3CDTF">2026-05-18T00:48:53+03:00</dcterms:modified>
</cp:coreProperties>
</file>

<file path=docProps/custom.xml><?xml version="1.0" encoding="utf-8"?>
<Properties xmlns="http://schemas.openxmlformats.org/officeDocument/2006/custom-properties" xmlns:vt="http://schemas.openxmlformats.org/officeDocument/2006/docPropsVTypes"/>
</file>