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الحفصي
</w:t>
      </w:r>
    </w:p>
    <w:p>
      <w:pPr>
        <w:jc w:val="start"/>
        <w:bidi/>
      </w:pPr>
      <w:r>
        <w:rPr>
          <w:rFonts w:ascii="arial" w:hAnsi="arial" w:eastAsia="arial" w:cs="arial"/>
          <w:sz w:val="28"/>
          <w:szCs w:val="28"/>
          <w:b w:val="1"/>
          <w:bCs w:val="1"/>
          <w:rtl/>
        </w:rPr>
        <w:t xml:space="preserve">أحمد الحفصي
</w:t>
      </w:r>
    </w:p>
    <w:p>
      <w:pPr/>
      <w:r>
        <w:rPr/>
        <w:t xml:space="preserve">أحمد الحفصي  أحمد بن محمد بن أبي بكر، أبو العباس، الحفصي: من كبراء ملوك الحفصيين بتونس، يلقب أبا السباع. كان أميرا على قسطنطينية، وثار على السلطان خالد بن إبراهيم صاحب تونس فخلعه وتولى السلطنة سنة 772 هـ. وقمع الفتن، وكانت ملء السهل والجبل، واستعاد البلاد من المتغلبين، فدخلت في طاعته بلاد الجري وقابس وجربة وطرابلس والزاب. وقويت أساطيله. فأغزاها الشواطئ المجاورة، واستمر إلى أن توفي بتونس. وكان عادلا حازما شجاعا، من مفاخر الحفصيين. </w:t>
      </w:r>
    </w:p>
    <w:p>
      <w:pPr>
        <w:jc w:val="start"/>
        <w:bidi/>
      </w:pPr>
      <w:r>
        <w:rPr>
          <w:sz w:val="24"/>
          <w:szCs w:val="24"/>
          <w:b w:val="1"/>
          <w:bCs w:val="1"/>
          <w:rtl/>
        </w:rPr>
        <w:t xml:space="preserve">
الأعلام،(دار العلم للملايين - بيروت،2002،ط 15،ج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2026-07-04T09:19:37+03:00</dcterms:created>
  <dcterms:modified xsi:type="dcterms:W3CDTF">2026-07-04T09:19:37+03:00</dcterms:modified>
</cp:coreProperties>
</file>

<file path=docProps/custom.xml><?xml version="1.0" encoding="utf-8"?>
<Properties xmlns="http://schemas.openxmlformats.org/officeDocument/2006/custom-properties" xmlns:vt="http://schemas.openxmlformats.org/officeDocument/2006/docPropsVTypes"/>
</file>