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الغرس
</w:t>
      </w:r>
    </w:p>
    <w:p>
      <w:pPr>
        <w:jc w:val="start"/>
        <w:bidi/>
      </w:pPr>
      <w:r>
        <w:rPr>
          <w:rFonts w:ascii="arial" w:hAnsi="arial" w:eastAsia="arial" w:cs="arial"/>
          <w:sz w:val="28"/>
          <w:szCs w:val="28"/>
          <w:b w:val="1"/>
          <w:bCs w:val="1"/>
          <w:rtl/>
        </w:rPr>
        <w:t xml:space="preserve">ابن الغرس
</w:t>
      </w:r>
    </w:p>
    <w:p>
      <w:pPr/>
      <w:r>
        <w:rPr/>
        <w:t xml:space="preserve">ابن الغرس  محمد بن محمد بن محمد بن خليل، ابو اليسر، البدر ابن الغرس: فاضل، من فقهاء الحنفية، له شعر حسن. مولده وفاته بالقاهرة. والغرس لقب جده خليل. حج وجاور غير مرة، واقرأ الطلبة بمكة. وكان غاية في الذكاء. واخذ عليه السخاوي ولعه باللعب بالشطرنج، ونقل عن (البقاعي) انه صار من رؤوس الاتحادية التابعين للاحلاج وابن عربي وابن الفارض. له كتب، منها (الفواكه البدرية في الاقضية الحكمية -ط) يعرف برسالة ابن الغرس في القضاء، و (رسالة في التمانع) ذكرها السخاوي وحاجي خليفة ولم يذكرا موضوعها، و (حاشية على شرح التفتازاني للعقائد النسفية -خ) وكتاب في الرد على البقاعي دفاعا عن ابن الفارض. </w:t>
      </w:r>
    </w:p>
    <w:p>
      <w:pPr>
        <w:jc w:val="start"/>
        <w:bidi/>
      </w:pPr>
      <w:r>
        <w:rPr>
          <w:sz w:val="24"/>
          <w:szCs w:val="24"/>
          <w:b w:val="1"/>
          <w:bCs w:val="1"/>
          <w:rtl/>
        </w:rPr>
        <w:t xml:space="preserve">
الأعلام،(دار العلم للملايين - بيروت،2002،ط 15،ج 7،ص 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2026-05-18T01:18:05+03:00</dcterms:created>
  <dcterms:modified xsi:type="dcterms:W3CDTF">2026-05-18T01:18:05+03:00</dcterms:modified>
</cp:coreProperties>
</file>

<file path=docProps/custom.xml><?xml version="1.0" encoding="utf-8"?>
<Properties xmlns="http://schemas.openxmlformats.org/officeDocument/2006/custom-properties" xmlns:vt="http://schemas.openxmlformats.org/officeDocument/2006/docPropsVTypes"/>
</file>