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الخيضري
</w:t>
      </w:r>
    </w:p>
    <w:p>
      <w:pPr>
        <w:jc w:val="start"/>
        <w:bidi/>
      </w:pPr>
      <w:r>
        <w:rPr>
          <w:rFonts w:ascii="arial" w:hAnsi="arial" w:eastAsia="arial" w:cs="arial"/>
          <w:sz w:val="28"/>
          <w:szCs w:val="28"/>
          <w:b w:val="1"/>
          <w:bCs w:val="1"/>
          <w:rtl/>
        </w:rPr>
        <w:t xml:space="preserve">ابن الخيضري
</w:t>
      </w:r>
    </w:p>
    <w:p>
      <w:pPr/>
      <w:r>
        <w:rPr/>
        <w:t xml:space="preserve">ابن الخيضري  محمد بن محمد بن عبد الله بن خضير، قطب الدين ابو الخير ابن الخيضري الزبيدي الدمشقي الشافعي: قاض، من العملماء بالتراجم والانساب والحديث. اصله من عرب البلقاء. ولد في بيت لهيا (من قرى دمشق) وقرأ بدمشق وبعلبك والقدس ومصر ومكة. وولي قضاء الشافعية وكتابة السر بدمشق. وتوفي بالقاهرة. له كتب، منها (الاكتساب في تلخيص كتب الانساب -خ) و (اللفظ المكرم بخصائص النبي الاعظم -خ) و (شرح الفية العراقي) و (طبقات الشافعية) و (البرق اللموع) في الاحاديث الموضوعة، و (الوض اللموع) في الاحاديث الموضوعة، و (الروض النضير في حال الخضر-خ) و (زهر الرياض -ط). </w:t>
      </w:r>
    </w:p>
    <w:p>
      <w:pPr>
        <w:jc w:val="start"/>
        <w:bidi/>
      </w:pPr>
      <w:r>
        <w:rPr>
          <w:sz w:val="24"/>
          <w:szCs w:val="24"/>
          <w:b w:val="1"/>
          <w:bCs w:val="1"/>
          <w:rtl/>
        </w:rPr>
        <w:t xml:space="preserve">
الأعلام،(دار العلم للملايين - بيروت،2002،ط 15،ج 7،ص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2026-05-18T01:20:15+03:00</dcterms:created>
  <dcterms:modified xsi:type="dcterms:W3CDTF">2026-05-18T01:20:15+03:00</dcterms:modified>
</cp:coreProperties>
</file>

<file path=docProps/custom.xml><?xml version="1.0" encoding="utf-8"?>
<Properties xmlns="http://schemas.openxmlformats.org/officeDocument/2006/custom-properties" xmlns:vt="http://schemas.openxmlformats.org/officeDocument/2006/docPropsVTypes"/>
</file>