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النويري
</w:t>
      </w:r>
    </w:p>
    <w:p>
      <w:pPr>
        <w:jc w:val="start"/>
        <w:bidi/>
      </w:pPr>
      <w:r>
        <w:rPr>
          <w:rFonts w:ascii="arial" w:hAnsi="arial" w:eastAsia="arial" w:cs="arial"/>
          <w:sz w:val="28"/>
          <w:szCs w:val="28"/>
          <w:b w:val="1"/>
          <w:bCs w:val="1"/>
          <w:rtl/>
        </w:rPr>
        <w:t xml:space="preserve">النويري
</w:t>
      </w:r>
    </w:p>
    <w:p>
      <w:pPr/>
      <w:r>
        <w:rPr/>
        <w:t xml:space="preserve">النويري  محمد بن محمد، ابو القاسم، محب الدين النويري: فقيه مالكي عالم بالقراآت. ولد في الميمون (من قرى الصعيد بمصر) وتعلم بالقاهرة، وحج مرارا، واقام بغزة والقدس ودمشق وغيرها. وتوفي بمكة. وكان يتكسب بالتجارة، مستعينا عن وظائف الفقهاء. عرض عليه القضاء فامتنع، وجعل له مرتب في كل يوم دينر، فرده، وقال: يريد جمقمق ان يستعبدني ! له تصانيف، منها (شرح المقدمات الكافية -خ) وهي ارجوزة له، و (الغياث) منظومة في القراآت الثلاث الزائدة على السبع، و (شرحها) و (شرح طيبة النشر في القراآت العشر -خ) وهي لشيخه ابن الجزري، و (القول الجاذ لمن قرأ بالشاذ) و (شرح الدرة المضية -خ) في القراآت. </w:t>
      </w:r>
    </w:p>
    <w:p>
      <w:pPr>
        <w:jc w:val="start"/>
        <w:bidi/>
      </w:pPr>
      <w:r>
        <w:rPr>
          <w:sz w:val="24"/>
          <w:szCs w:val="24"/>
          <w:b w:val="1"/>
          <w:bCs w:val="1"/>
          <w:rtl/>
        </w:rPr>
        <w:t xml:space="preserve">
الأعلام،(دار العلم للملايين - بيروت،2002،ط 15،ج 7،ص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2026-05-18T02:07:58+03:00</dcterms:created>
  <dcterms:modified xsi:type="dcterms:W3CDTF">2026-05-18T02:07:58+03:00</dcterms:modified>
</cp:coreProperties>
</file>

<file path=docProps/custom.xml><?xml version="1.0" encoding="utf-8"?>
<Properties xmlns="http://schemas.openxmlformats.org/officeDocument/2006/custom-properties" xmlns:vt="http://schemas.openxmlformats.org/officeDocument/2006/docPropsVTypes"/>
</file>