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مينا
</w:t>
      </w:r>
    </w:p>
    <w:p>
      <w:pPr>
        <w:jc w:val="start"/>
        <w:bidi/>
      </w:pPr>
      <w:r>
        <w:rPr>
          <w:rFonts w:ascii="arial" w:hAnsi="arial" w:eastAsia="arial" w:cs="arial"/>
          <w:sz w:val="28"/>
          <w:szCs w:val="28"/>
          <w:b w:val="1"/>
          <w:bCs w:val="1"/>
          <w:rtl/>
        </w:rPr>
        <w:t xml:space="preserve">ابن مينا
</w:t>
      </w:r>
    </w:p>
    <w:p>
      <w:pPr/>
      <w:r>
        <w:rPr/>
        <w:t xml:space="preserve">ابن مينا  محمد بن محمد بن مينا بن عثمان البعلبكي الشافعي: فاضل، من أهل بعلبك. دخل بغداد، واعاد بالنظامية. وعاد إلى دمشق، فخطب بالمزة، وناب في الحكم ببعض البلاد. له (فكاهة الخاطر ونزهة الناظر). </w:t>
      </w:r>
    </w:p>
    <w:p>
      <w:pPr>
        <w:jc w:val="start"/>
        <w:bidi/>
      </w:pPr>
      <w:r>
        <w:rPr>
          <w:sz w:val="24"/>
          <w:szCs w:val="24"/>
          <w:b w:val="1"/>
          <w:bCs w:val="1"/>
          <w:rtl/>
        </w:rPr>
        <w:t xml:space="preserve">
الأعلام،(دار العلم للملايين - بيروت،2002،ط 15،ج 7،ص 35)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ميناء
</w:t>
      </w:r>
    </w:p>
    <w:p>
      <w:pPr/>
      <w:r>
        <w:rPr/>
        <w:t xml:space="preserve">ابن ميناء محمد بن محمد بن ميناء الشيخ الإمام الفاضل شمس الدين البعلبكي الشافعي، سمع من القاسم بن عساكر ومن عيسى المطعم وغيرهما، وقرأ الفقه وبرع فيه وناظر وأفتى، وتوجه إلى بغداذ وأعاد بالنظامية فيما قيل وعاد إلى الشام، وكان الشيخ كمال الدين ابن الزملكاني رحمه الله يثني على ذهنه وكان على ذهنه إشكالات في المذهب وشكوك في غير الفقه وكان ينحرف كثيرا، وتولى قضاء الإقليم بدمشق وما كان يخلو من تعبد، وخلف لما توفي رحمه الله دنيا صالحة ووصى بثلث ماله أن يصرف على فقراء الفقهاء كل إنسان عشرة دراهم وكان مقيما بالرواحية وكتب عني شيئا وكان يعجبني ذهنه وحديثه، وتوفي رحمه الله تعالى في طاعون دمشق في شهر رجب الفرد سنة تسع وأربعين وسبع ماية في حدود الخمسين.</w:t>
      </w:r>
    </w:p>
    <w:p>
      <w:pPr>
        <w:jc w:val="start"/>
        <w:bidi/>
      </w:pPr>
      <w:r>
        <w:rPr>
          <w:sz w:val="24"/>
          <w:szCs w:val="24"/>
          <w:b w:val="1"/>
          <w:bCs w:val="1"/>
          <w:rtl/>
        </w:rPr>
        <w:t xml:space="preserve">
الوافي بالوفيات،(دار فرانز شتاينر، فيسبادن، ألمانيا / دار إحياء التراث - بيروت،2000،ط 1،ج 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مينا شمس الدين
</w:t>
      </w:r>
    </w:p>
    <w:p>
      <w:pPr/>
      <w:r>
        <w:rPr/>
        <w:t xml:space="preserve">ابن مينا شمس الدين محمد بن محمد.</w:t>
      </w:r>
    </w:p>
    <w:p>
      <w:pPr>
        <w:jc w:val="start"/>
        <w:bidi/>
      </w:pPr>
      <w:r>
        <w:rPr>
          <w:sz w:val="24"/>
          <w:szCs w:val="24"/>
          <w:b w:val="1"/>
          <w:bCs w:val="1"/>
          <w:rtl/>
        </w:rPr>
        <w:t xml:space="preserve">
أعيان العصر وأعوان النصر،(دار الفكر المعاصر، بيروت - لبنان / دار الفكر، دمشق - سوريا،1998،ط 1،ج 5،ص 494)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2026-05-18T03:06:54+03:00</dcterms:created>
  <dcterms:modified xsi:type="dcterms:W3CDTF">2026-05-18T03:06:54+03:00</dcterms:modified>
</cp:coreProperties>
</file>

<file path=docProps/custom.xml><?xml version="1.0" encoding="utf-8"?>
<Properties xmlns="http://schemas.openxmlformats.org/officeDocument/2006/custom-properties" xmlns:vt="http://schemas.openxmlformats.org/officeDocument/2006/docPropsVTypes"/>
</file>