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الفقيه النصري
</w:t>
      </w:r>
    </w:p>
    <w:p>
      <w:pPr>
        <w:jc w:val="start"/>
        <w:bidi/>
      </w:pPr>
      <w:r>
        <w:rPr>
          <w:rFonts w:ascii="arial" w:hAnsi="arial" w:eastAsia="arial" w:cs="arial"/>
          <w:sz w:val="28"/>
          <w:szCs w:val="28"/>
          <w:b w:val="1"/>
          <w:bCs w:val="1"/>
          <w:rtl/>
        </w:rPr>
        <w:t xml:space="preserve">الفقيه النصري
</w:t>
      </w:r>
    </w:p>
    <w:p>
      <w:pPr/>
      <w:r>
        <w:rPr/>
        <w:t xml:space="preserve">الفقيه النصري  محمد بن محمد بن يوسف بن نصر، من بني الاحمر امير المسلمين، ثاني ملوك الدولة النصرية في الاندلس. ولد بغرناطة. وباشر الاعمال في حياة ابيه مباشرة الوزير. ثم ولي بعد وفاته (سنة 671هـ) وكان حازما صارما، شجاعا، له اشتغال بالفقه والادب، كثير الملح، يقرض الابيات من النظم وليست بشعر. افتتح عهده بفتن وثورات ثبت لها، وطال عمره وعد صيته. وغزا الروم اثر هلاك طاغيتهم (شانجه بن اذفونش) في محرم 695 فتملك حثونا، وافتتح مدينة قيجاطة (Quesada) واستولى (سنة 699) على مدينة القبذاق (من نواحي قرطبة) وتوفي بغرناطة. </w:t>
      </w:r>
    </w:p>
    <w:p>
      <w:pPr>
        <w:jc w:val="start"/>
        <w:bidi/>
      </w:pPr>
      <w:r>
        <w:rPr>
          <w:sz w:val="24"/>
          <w:szCs w:val="24"/>
          <w:b w:val="1"/>
          <w:bCs w:val="1"/>
          <w:rtl/>
        </w:rPr>
        <w:t xml:space="preserve">
الأعلام،(دار العلم للملايين - بيروت،2002،ط 15،ج 7،ص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2026-05-18T04:07:56+03:00</dcterms:created>
  <dcterms:modified xsi:type="dcterms:W3CDTF">2026-05-18T04:07:56+03:00</dcterms:modified>
</cp:coreProperties>
</file>

<file path=docProps/custom.xml><?xml version="1.0" encoding="utf-8"?>
<Properties xmlns="http://schemas.openxmlformats.org/officeDocument/2006/custom-properties" xmlns:vt="http://schemas.openxmlformats.org/officeDocument/2006/docPropsVTypes"/>
</file>