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محمد بن محمد بن محمد، ابو الفضل برهان الدين النسفي: عالم بالتفسير والاصول والكلام، من الاحناف. سكن بغداد وتوفي بها. من كتبه (الواضح) في تلخيص تفسير القرآن لفخر الرازي، و (المقدمة النسفية -خ) و تسمى (المقدمة البرهانية) في الخلاف، و (الفصول في علم الجدل -خ) و (منشأ النظر في علم الخلاف -خ) و (القوادح الجدلية -خ) و (دفع النصوص والنقود -خ) و (شرح الاسماء الحسنى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النسفي
</w:t>
      </w:r>
    </w:p>
    <w:p>
      <w:pPr/>
      <w:r>
        <w:rPr/>
        <w:t xml:space="preserve">محمد بن محمد النسفي محمد بن محمد بن محمد، أبو الفضل، المعروف بـ’’البرهان النسفي’’.</w:t>
      </w:r>
    </w:p>
    <w:p/>
    <w:p>
      <w:pPr/>
      <w:r>
        <w:rPr/>
        <w:t xml:space="preserve">ولد سنة ستمائة تقريبا.</w:t>
      </w:r>
    </w:p>
    <w:p/>
    <w:p>
      <w:pPr/>
      <w:r>
        <w:rPr/>
        <w:t xml:space="preserve">ولخص تفسير الإمام فخر الدين الرازي، وله ’’مقدمة’’في الخلاف، مشهورة. وكتب في علم الكلام.</w:t>
      </w:r>
    </w:p>
    <w:p/>
    <w:p>
      <w:pPr/>
      <w:r>
        <w:rPr/>
        <w:t xml:space="preserve">وأجاز للبرزالي في سنة أربع وثمانين وستمائة من بغداد.</w:t>
      </w:r>
    </w:p>
    <w:p/>
    <w:p>
      <w:pPr/>
      <w:r>
        <w:rPr/>
        <w:t xml:space="preserve">وتوفي بها سنة سبع وثمانين وستمائة.</w:t>
      </w:r>
    </w:p>
    <w:p/>
    <w:p>
      <w:pPr/>
      <w:r>
        <w:rPr/>
        <w:t xml:space="preserve">قلت: قال الذهبي عن ابن الفوطي: كان أوحد في الخلاف والفلسفة، وكان زاهدا.</w:t>
      </w:r>
    </w:p>
    <w:p/>
    <w:p>
      <w:pPr/>
      <w:r>
        <w:rPr/>
        <w:t xml:space="preserve">مولده تقريبا سنة ستمائة.</w:t>
      </w:r>
    </w:p>
    <w:p/>
    <w:p>
      <w:pPr/>
      <w:r>
        <w:rPr/>
        <w:t xml:space="preserve">ومات في الثاني والعشرين من ذي الحجة سنة سبع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أبو الفضل المعروف بالبرهان النسفي
</w:t>
      </w:r>
    </w:p>
    <w:p>
      <w:pPr/>
      <w:r>
        <w:rPr/>
        <w:t xml:space="preserve">محمد بن محمد أبو الفضل المعروف بالبرهان النسفي ولد في سنة ستمائة تقريبا</w:t>
      </w:r>
    </w:p>
    <w:p/>
    <w:p>
      <w:pPr/>
      <w:r>
        <w:rPr/>
        <w:t xml:space="preserve">ولخص تفسير الإمام فخر الدين الرازي وله مقدمة في الخلاف مشهورة وكتب في علم الكلام</w:t>
      </w:r>
    </w:p>
    <w:p/>
    <w:p>
      <w:pPr/>
      <w:r>
        <w:rPr/>
        <w:t xml:space="preserve">وأجاز للبرزالي</w:t>
      </w:r>
    </w:p>
    <w:p/>
    <w:p>
      <w:pPr/>
      <w:r>
        <w:rPr/>
        <w:t xml:space="preserve">قال الذهبي عن ابن الفوطي كان أوحد زمانه في الخلاف والفلسفة وكان زاهدا متورعا</w:t>
      </w:r>
    </w:p>
    <w:p/>
    <w:p>
      <w:pPr/>
      <w:r>
        <w:rPr/>
        <w:t xml:space="preserve">توفي في سنة سبع وثمانين وستمائة</w:t>
      </w:r>
    </w:p>
    <w:p/>
    <w:p>
      <w:pPr/>
      <w:r>
        <w:rPr/>
        <w:t xml:space="preserve">كذا في الجواهر المضية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2026-05-10T19:00:52+03:00</dcterms:created>
  <dcterms:modified xsi:type="dcterms:W3CDTF">2026-05-10T19:00:52+03:00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