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ملا خسرو
</w:t>
      </w:r>
    </w:p>
    <w:p>
      <w:pPr>
        <w:jc w:val="start"/>
        <w:bidi/>
      </w:pPr>
      <w:r>
        <w:rPr>
          <w:rFonts w:ascii="arial" w:hAnsi="arial" w:eastAsia="arial" w:cs="arial"/>
          <w:sz w:val="28"/>
          <w:szCs w:val="28"/>
          <w:b w:val="1"/>
          <w:bCs w:val="1"/>
          <w:rtl/>
        </w:rPr>
        <w:t xml:space="preserve">ملا خسرو
</w:t>
      </w:r>
    </w:p>
    <w:p>
      <w:pPr/>
      <w:r>
        <w:rPr/>
        <w:t xml:space="preserve">ملا خسرو  محمد بن فرامرز بن علي، المعروف بملا - او منلا او المولي -خسرو: عالم بفقه الحنفيه والاصول. رومي الاصل. اسلم ابوه. ونشأ هو مسلما، فتبحر في علوم المعقول والمنقول، وتولى التدريس في زمان السلطان محمد بن مراد، بمدينة بروسية. وولي قضاء القسطنطينية، وتوفي بها، ونقل إلى بروسة. قال ابن العماد: صار مفتيا بالتخت السلطاني، وعم امره، وعمر عدة مساجد بقسطنطينية. من كتبه (درر الحكام في شرح غرر الاحكام -ط) فقه، كلاهما له، مجلدان، و (مرقاة الوصول في علم الاصول -ط) رسالة، وشرحها (مرآة الاصول -ط) و (حاشية على التلويح -ط) في الاصول، و (حاشية على انوار التنزيل واسرار التأويل -خ) كتبت سنة 947. </w:t>
      </w:r>
    </w:p>
    <w:p>
      <w:pPr>
        <w:jc w:val="start"/>
        <w:bidi/>
      </w:pPr>
      <w:r>
        <w:rPr>
          <w:sz w:val="24"/>
          <w:szCs w:val="24"/>
          <w:b w:val="1"/>
          <w:bCs w:val="1"/>
          <w:rtl/>
        </w:rPr>
        <w:t xml:space="preserve">
الأعلام،(دار العلم للملايين - بيروت،2002،ط 15،ج 6،ص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2026-05-18T10:07:56+03:00</dcterms:created>
  <dcterms:modified xsi:type="dcterms:W3CDTF">2026-05-18T10:07:56+03:00</dcterms:modified>
</cp:coreProperties>
</file>

<file path=docProps/custom.xml><?xml version="1.0" encoding="utf-8"?>
<Properties xmlns="http://schemas.openxmlformats.org/officeDocument/2006/custom-properties" xmlns:vt="http://schemas.openxmlformats.org/officeDocument/2006/docPropsVTypes"/>
</file>